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body>
    <w:p w:rsidRPr="001B13E5" w:rsidR="00F92268" w:rsidP="00850792" w:rsidRDefault="00F92268" w14:paraId="209B81AE" w14:textId="77777777">
      <w:pPr>
        <w:pStyle w:val="BodyText"/>
        <w:rPr>
          <w:sz w:val="6"/>
          <w:szCs w:val="6"/>
        </w:rPr>
      </w:pPr>
      <w:r w:rsidRPr="001B13E5">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Pr="00165427" w:rsidR="00F92268" w:rsidTr="000025F0" w14:paraId="626EF7AA" w14:textId="77777777">
        <w:trPr>
          <w:trHeight w:val="144"/>
          <w:jc w:val="right"/>
        </w:trPr>
        <w:tc>
          <w:tcPr>
            <w:tcW w:w="1854" w:type="dxa"/>
            <w:tcBorders>
              <w:top w:val="single" w:color="auto" w:sz="4" w:space="0"/>
              <w:left w:val="single" w:color="auto" w:sz="4" w:space="0"/>
              <w:bottom w:val="single" w:color="auto" w:sz="4" w:space="0"/>
              <w:right w:val="single" w:color="auto" w:sz="4" w:space="0"/>
            </w:tcBorders>
            <w:shd w:val="clear" w:color="auto" w:fill="F2F2F2" w:themeFill="background1" w:themeFillShade="F2"/>
            <w:hideMark/>
          </w:tcPr>
          <w:p w:rsidRPr="00165427" w:rsidR="00F92268" w:rsidP="00165427" w:rsidRDefault="00F92268" w14:paraId="08CAAD82" w14:textId="77777777">
            <w:pPr>
              <w:pStyle w:val="RefTableData"/>
            </w:pPr>
            <w:r w:rsidRPr="00165427">
              <w:t>Reference number(s)</w:t>
            </w:r>
          </w:p>
        </w:tc>
      </w:tr>
      <w:tr w:rsidRPr="00165427" w:rsidR="00F92268" w:rsidTr="000025F0" w14:paraId="2C20F89A" w14:textId="77777777">
        <w:trPr>
          <w:trHeight w:val="378"/>
          <w:jc w:val="right"/>
        </w:trPr>
        <w:tc>
          <w:tcPr>
            <w:tcW w:w="1854" w:type="dxa"/>
            <w:tcBorders>
              <w:top w:val="single" w:color="auto" w:sz="4" w:space="0"/>
              <w:left w:val="single" w:color="auto" w:sz="4" w:space="0"/>
              <w:bottom w:val="single" w:color="auto" w:sz="4" w:space="0"/>
              <w:right w:val="single" w:color="auto" w:sz="4" w:space="0"/>
            </w:tcBorders>
            <w:hideMark/>
          </w:tcPr>
          <w:p w:rsidRPr="00165427" w:rsidR="00F92268" w:rsidP="00165427" w:rsidRDefault="00986B2B" w14:paraId="562031BD" w14:textId="7D8233B8">
            <w:pPr>
              <w:pStyle w:val="RefTableData"/>
            </w:pPr>
            <w:r w:rsidRPr="00165427">
              <w:t>2042-A</w:t>
            </w:r>
          </w:p>
        </w:tc>
      </w:tr>
    </w:tbl>
    <w:p w:rsidRPr="001B13E5" w:rsidR="00051356" w:rsidP="00A672B3" w:rsidRDefault="00051356" w14:paraId="74FBA5B4" w14:textId="77777777">
      <w:pPr>
        <w:pStyle w:val="BodyText"/>
        <w:rPr>
          <w:b/>
          <w:bCs/>
          <w:sz w:val="16"/>
          <w:szCs w:val="16"/>
        </w:rPr>
        <w:sectPr w:rsidRPr="001B13E5" w:rsidR="00051356" w:rsidSect="00051356">
          <w:headerReference w:type="default" r:id="rId12"/>
          <w:footerReference w:type="default" r:id="rId13"/>
          <w:footerReference w:type="first" r:id="rId14"/>
          <w:pgSz w:w="12240" w:h="15840" w:orient="portrait" w:code="1"/>
          <w:pgMar w:top="900" w:right="720" w:bottom="990" w:left="720" w:header="720" w:footer="807" w:gutter="0"/>
          <w:paperSrc w:first="15" w:other="15"/>
          <w:cols w:space="720"/>
          <w:titlePg/>
          <w:docGrid w:linePitch="272"/>
        </w:sectPr>
      </w:pPr>
    </w:p>
    <w:p w:rsidRPr="001B13E5" w:rsidR="004B15BB" w:rsidP="007E5C16" w:rsidRDefault="00986B2B" w14:paraId="3F4DE49F" w14:textId="1E822F07">
      <w:pPr>
        <w:pStyle w:val="Heading1"/>
      </w:pPr>
      <w:r w:rsidRPr="001B13E5">
        <w:t>Specialty Guideline Management</w:t>
      </w:r>
      <w:r w:rsidRPr="001B13E5" w:rsidR="00C55D99">
        <w:br/>
      </w:r>
      <w:r w:rsidRPr="001B13E5" w:rsidR="00C55D99">
        <w:t>Intravenous Immune Globulin (IVIG)</w:t>
      </w:r>
    </w:p>
    <w:p w:rsidRPr="001B13E5" w:rsidR="00203468" w:rsidP="008E0F0D" w:rsidRDefault="00C64534" w14:paraId="78861C92" w14:textId="3F6801F0">
      <w:pPr>
        <w:pStyle w:val="Heading2"/>
      </w:pPr>
      <w:r w:rsidRPr="001B13E5">
        <w:t xml:space="preserve">Products Referenced by this </w:t>
      </w:r>
      <w:r w:rsidRPr="001B13E5" w:rsidR="00501602">
        <w:t>Document</w:t>
      </w:r>
    </w:p>
    <w:p w:rsidRPr="001B13E5" w:rsidR="008E0F0D" w:rsidP="008B73E8" w:rsidRDefault="00D82D85" w14:paraId="5455152B" w14:textId="7DECD1D7">
      <w:pPr>
        <w:pStyle w:val="BodyText"/>
      </w:pPr>
      <w:r w:rsidRPr="001B13E5">
        <w:t xml:space="preserve">Drugs that are listed in the </w:t>
      </w:r>
      <w:r w:rsidRPr="001B13E5" w:rsidR="000315F1">
        <w:t>following table</w:t>
      </w:r>
      <w:r w:rsidRPr="001B13E5">
        <w:t xml:space="preserve"> include both brand and generic and all dosage forms and strengths unless otherwise stated. </w:t>
      </w:r>
      <w:r w:rsidRPr="004B2906" w:rsidR="004B2906">
        <w:t>Over</w:t>
      </w:r>
      <w:r w:rsidR="00E42EBE">
        <w:t>-</w:t>
      </w:r>
      <w:r w:rsidRPr="004B2906" w:rsidR="004B2906">
        <w:t>the</w:t>
      </w:r>
      <w:r w:rsidR="00E42EBE">
        <w:t>-</w:t>
      </w:r>
      <w:r w:rsidRPr="004B2906" w:rsidR="004B2906">
        <w:t>counter (OTC)</w:t>
      </w:r>
      <w:r w:rsidRPr="001B13E5">
        <w:t xml:space="preserve"> products are not included unless otherwise stated.</w:t>
      </w:r>
    </w:p>
    <w:tbl>
      <w:tblPr>
        <w:tblStyle w:val="TableGrid"/>
        <w:tblW w:w="0" w:type="auto"/>
        <w:tblBorders>
          <w:top w:val="single" w:color="auto" w:sz="24" w:space="0"/>
          <w:left w:val="single" w:color="auto" w:sz="24" w:space="0"/>
          <w:bottom w:val="single" w:color="auto" w:sz="24" w:space="0"/>
          <w:right w:val="single" w:color="auto" w:sz="24" w:space="0"/>
          <w:insideH w:val="single" w:color="auto" w:sz="6" w:space="0"/>
          <w:insideV w:val="single" w:color="auto" w:sz="6" w:space="0"/>
        </w:tblBorders>
        <w:tblLook w:val="0420" w:firstRow="1" w:lastRow="0" w:firstColumn="0" w:lastColumn="0" w:noHBand="0" w:noVBand="1"/>
      </w:tblPr>
      <w:tblGrid>
        <w:gridCol w:w="10740"/>
      </w:tblGrid>
      <w:tr w:rsidRPr="001B13E5" w:rsidR="00B0481F" w:rsidTr="00B0481F" w14:paraId="734D50DA" w14:textId="77777777">
        <w:trPr>
          <w:cantSplit/>
          <w:tblHeader/>
        </w:trPr>
        <w:tc>
          <w:tcPr>
            <w:tcW w:w="10740" w:type="dxa"/>
          </w:tcPr>
          <w:p w:rsidRPr="001B13E5" w:rsidR="00B0481F" w:rsidP="00B0481F" w:rsidRDefault="00B0481F" w14:paraId="4F11A755" w14:textId="77777777">
            <w:pPr>
              <w:pStyle w:val="TableHeader"/>
            </w:pPr>
            <w:r w:rsidRPr="001B13E5">
              <w:t>Brand Name</w:t>
            </w:r>
          </w:p>
        </w:tc>
      </w:tr>
      <w:tr w:rsidRPr="001B13E5" w:rsidR="00B0481F" w:rsidTr="00B0481F" w14:paraId="0AD98C43" w14:textId="77777777">
        <w:trPr>
          <w:cantSplit/>
        </w:trPr>
        <w:tc>
          <w:tcPr>
            <w:tcW w:w="10740" w:type="dxa"/>
          </w:tcPr>
          <w:p w:rsidRPr="001B13E5" w:rsidR="00B0481F" w:rsidP="00E82ABA" w:rsidRDefault="00986B2B" w14:paraId="7823A763" w14:textId="2A339A11">
            <w:pPr>
              <w:pStyle w:val="TableDataUnpadded"/>
            </w:pPr>
            <w:r w:rsidRPr="001B13E5">
              <w:t>Alyglo</w:t>
            </w:r>
          </w:p>
        </w:tc>
      </w:tr>
      <w:tr w:rsidRPr="001B13E5" w:rsidR="00B0481F" w:rsidTr="00B0481F" w14:paraId="65C4CE53" w14:textId="77777777">
        <w:trPr>
          <w:cantSplit/>
        </w:trPr>
        <w:tc>
          <w:tcPr>
            <w:tcW w:w="10740" w:type="dxa"/>
          </w:tcPr>
          <w:p w:rsidRPr="001B13E5" w:rsidR="00B0481F" w:rsidP="00E82ABA" w:rsidRDefault="00986B2B" w14:paraId="56E68D3A" w14:textId="5628CCCF">
            <w:pPr>
              <w:pStyle w:val="TableDataUnpadded"/>
            </w:pPr>
            <w:proofErr w:type="spellStart"/>
            <w:r w:rsidRPr="001B13E5">
              <w:t>Asceniv</w:t>
            </w:r>
            <w:proofErr w:type="spellEnd"/>
          </w:p>
        </w:tc>
      </w:tr>
      <w:tr w:rsidRPr="001B13E5" w:rsidR="00986B2B" w:rsidTr="00B0481F" w14:paraId="1EA9E9C3" w14:textId="77777777">
        <w:trPr>
          <w:cantSplit/>
        </w:trPr>
        <w:tc>
          <w:tcPr>
            <w:tcW w:w="10740" w:type="dxa"/>
          </w:tcPr>
          <w:p w:rsidRPr="001B13E5" w:rsidR="00986B2B" w:rsidP="00E82ABA" w:rsidRDefault="00986B2B" w14:paraId="796B2651" w14:textId="22F1D09B">
            <w:pPr>
              <w:pStyle w:val="TableDataUnpadded"/>
            </w:pPr>
            <w:proofErr w:type="spellStart"/>
            <w:r w:rsidRPr="001B13E5">
              <w:t>Bivigam</w:t>
            </w:r>
            <w:proofErr w:type="spellEnd"/>
          </w:p>
        </w:tc>
      </w:tr>
      <w:tr w:rsidRPr="001B13E5" w:rsidR="00986B2B" w:rsidTr="00B0481F" w14:paraId="7B7F4F0A" w14:textId="77777777">
        <w:trPr>
          <w:cantSplit/>
        </w:trPr>
        <w:tc>
          <w:tcPr>
            <w:tcW w:w="10740" w:type="dxa"/>
          </w:tcPr>
          <w:p w:rsidRPr="001B13E5" w:rsidR="00986B2B" w:rsidP="00E82ABA" w:rsidRDefault="00986B2B" w14:paraId="71A90059" w14:textId="479AEF0E">
            <w:pPr>
              <w:pStyle w:val="TableDataUnpadded"/>
            </w:pPr>
            <w:proofErr w:type="spellStart"/>
            <w:r w:rsidRPr="001B13E5">
              <w:t>Flebogamma</w:t>
            </w:r>
            <w:proofErr w:type="spellEnd"/>
            <w:r w:rsidRPr="001B13E5">
              <w:t xml:space="preserve"> DIF</w:t>
            </w:r>
          </w:p>
        </w:tc>
      </w:tr>
      <w:tr w:rsidRPr="001B13E5" w:rsidR="00986B2B" w:rsidTr="00B0481F" w14:paraId="4FA67111" w14:textId="77777777">
        <w:trPr>
          <w:cantSplit/>
        </w:trPr>
        <w:tc>
          <w:tcPr>
            <w:tcW w:w="10740" w:type="dxa"/>
          </w:tcPr>
          <w:p w:rsidRPr="001B13E5" w:rsidR="00986B2B" w:rsidP="00E82ABA" w:rsidRDefault="00986B2B" w14:paraId="035ADB94" w14:textId="725E72D3">
            <w:pPr>
              <w:pStyle w:val="TableDataUnpadded"/>
            </w:pPr>
            <w:proofErr w:type="spellStart"/>
            <w:r w:rsidRPr="001B13E5">
              <w:t>Gammagard</w:t>
            </w:r>
            <w:proofErr w:type="spellEnd"/>
            <w:r w:rsidRPr="001B13E5">
              <w:t xml:space="preserve"> Liquid</w:t>
            </w:r>
          </w:p>
        </w:tc>
      </w:tr>
      <w:tr w:rsidRPr="001B13E5" w:rsidR="00986B2B" w:rsidTr="00B0481F" w14:paraId="48C3F146" w14:textId="77777777">
        <w:trPr>
          <w:cantSplit/>
        </w:trPr>
        <w:tc>
          <w:tcPr>
            <w:tcW w:w="10740" w:type="dxa"/>
          </w:tcPr>
          <w:p w:rsidRPr="001B13E5" w:rsidR="00986B2B" w:rsidP="00E82ABA" w:rsidRDefault="00986B2B" w14:paraId="1A584E63" w14:textId="016C34CD">
            <w:pPr>
              <w:pStyle w:val="TableDataUnpadded"/>
            </w:pPr>
            <w:proofErr w:type="spellStart"/>
            <w:r w:rsidRPr="001B13E5">
              <w:t>Gammagard</w:t>
            </w:r>
            <w:proofErr w:type="spellEnd"/>
            <w:r w:rsidRPr="001B13E5">
              <w:t xml:space="preserve"> S/D</w:t>
            </w:r>
          </w:p>
        </w:tc>
      </w:tr>
      <w:tr w:rsidRPr="001B13E5" w:rsidR="00986B2B" w:rsidTr="00B0481F" w14:paraId="664EEB7E" w14:textId="77777777">
        <w:trPr>
          <w:cantSplit/>
        </w:trPr>
        <w:tc>
          <w:tcPr>
            <w:tcW w:w="10740" w:type="dxa"/>
          </w:tcPr>
          <w:p w:rsidRPr="001B13E5" w:rsidR="00986B2B" w:rsidP="00E82ABA" w:rsidRDefault="00986B2B" w14:paraId="45FBC204" w14:textId="3B5B8C33">
            <w:pPr>
              <w:pStyle w:val="TableDataUnpadded"/>
            </w:pPr>
            <w:r w:rsidRPr="001B13E5">
              <w:t>Gammaked</w:t>
            </w:r>
          </w:p>
        </w:tc>
      </w:tr>
      <w:tr w:rsidRPr="001B13E5" w:rsidR="00986B2B" w:rsidTr="00B0481F" w14:paraId="041EB186" w14:textId="77777777">
        <w:trPr>
          <w:cantSplit/>
        </w:trPr>
        <w:tc>
          <w:tcPr>
            <w:tcW w:w="10740" w:type="dxa"/>
          </w:tcPr>
          <w:p w:rsidRPr="001B13E5" w:rsidR="00986B2B" w:rsidP="00E82ABA" w:rsidRDefault="00986B2B" w14:paraId="0CC1DBEC" w14:textId="49A468E2">
            <w:pPr>
              <w:pStyle w:val="TableDataUnpadded"/>
            </w:pPr>
            <w:proofErr w:type="spellStart"/>
            <w:r w:rsidRPr="001B13E5">
              <w:t>Gammaplex</w:t>
            </w:r>
            <w:proofErr w:type="spellEnd"/>
          </w:p>
        </w:tc>
      </w:tr>
      <w:tr w:rsidRPr="001B13E5" w:rsidR="00986B2B" w:rsidTr="00B0481F" w14:paraId="7217DB8A" w14:textId="77777777">
        <w:trPr>
          <w:cantSplit/>
        </w:trPr>
        <w:tc>
          <w:tcPr>
            <w:tcW w:w="10740" w:type="dxa"/>
          </w:tcPr>
          <w:p w:rsidRPr="001B13E5" w:rsidR="00986B2B" w:rsidP="00E82ABA" w:rsidRDefault="00986B2B" w14:paraId="54AFA9F4" w14:textId="3A95F690">
            <w:pPr>
              <w:pStyle w:val="TableDataUnpadded"/>
            </w:pPr>
            <w:proofErr w:type="spellStart"/>
            <w:r w:rsidRPr="001B13E5">
              <w:t>Gamunex</w:t>
            </w:r>
            <w:proofErr w:type="spellEnd"/>
            <w:r w:rsidRPr="001B13E5">
              <w:t>-C</w:t>
            </w:r>
          </w:p>
        </w:tc>
      </w:tr>
      <w:tr w:rsidRPr="001B13E5" w:rsidR="00986B2B" w:rsidTr="00B0481F" w14:paraId="6C1FDB77" w14:textId="77777777">
        <w:trPr>
          <w:cantSplit/>
        </w:trPr>
        <w:tc>
          <w:tcPr>
            <w:tcW w:w="10740" w:type="dxa"/>
          </w:tcPr>
          <w:p w:rsidRPr="001B13E5" w:rsidR="00986B2B" w:rsidP="00E82ABA" w:rsidRDefault="00986B2B" w14:paraId="1D088D42" w14:textId="1BFEF75B">
            <w:pPr>
              <w:pStyle w:val="TableDataUnpadded"/>
            </w:pPr>
            <w:proofErr w:type="spellStart"/>
            <w:r w:rsidRPr="001B13E5">
              <w:t>Octagam</w:t>
            </w:r>
            <w:proofErr w:type="spellEnd"/>
          </w:p>
        </w:tc>
      </w:tr>
      <w:tr w:rsidRPr="001B13E5" w:rsidR="00986B2B" w:rsidTr="00B0481F" w14:paraId="4E387B54" w14:textId="77777777">
        <w:trPr>
          <w:cantSplit/>
        </w:trPr>
        <w:tc>
          <w:tcPr>
            <w:tcW w:w="10740" w:type="dxa"/>
          </w:tcPr>
          <w:p w:rsidRPr="001B13E5" w:rsidR="00986B2B" w:rsidP="00E82ABA" w:rsidRDefault="00986B2B" w14:paraId="322846FF" w14:textId="2B26325F">
            <w:pPr>
              <w:pStyle w:val="TableDataUnpadded"/>
            </w:pPr>
            <w:proofErr w:type="spellStart"/>
            <w:r w:rsidRPr="001B13E5">
              <w:t>Panzyga</w:t>
            </w:r>
            <w:proofErr w:type="spellEnd"/>
          </w:p>
        </w:tc>
      </w:tr>
      <w:tr w:rsidRPr="001B13E5" w:rsidR="00986B2B" w:rsidTr="00B0481F" w14:paraId="173EFDD8" w14:textId="77777777">
        <w:trPr>
          <w:cantSplit/>
        </w:trPr>
        <w:tc>
          <w:tcPr>
            <w:tcW w:w="10740" w:type="dxa"/>
          </w:tcPr>
          <w:p w:rsidRPr="001B13E5" w:rsidR="00986B2B" w:rsidP="00E82ABA" w:rsidRDefault="00986B2B" w14:paraId="5F3534FF" w14:textId="591E9AE7">
            <w:pPr>
              <w:pStyle w:val="TableDataUnpadded"/>
            </w:pPr>
            <w:proofErr w:type="spellStart"/>
            <w:r w:rsidRPr="001B13E5">
              <w:t>Privigen</w:t>
            </w:r>
            <w:proofErr w:type="spellEnd"/>
          </w:p>
        </w:tc>
      </w:tr>
      <w:tr w:rsidRPr="001B13E5" w:rsidR="001A5139" w:rsidTr="00B0481F" w14:paraId="4F429B38" w14:textId="77777777">
        <w:trPr>
          <w:cantSplit/>
        </w:trPr>
        <w:tc>
          <w:tcPr>
            <w:tcW w:w="10740" w:type="dxa"/>
          </w:tcPr>
          <w:p w:rsidRPr="001B13E5" w:rsidR="001A5139" w:rsidP="00E82ABA" w:rsidRDefault="001A5139" w14:paraId="2AB7263C" w14:textId="16822C78">
            <w:pPr>
              <w:pStyle w:val="TableDataUnpadded"/>
            </w:pPr>
            <w:proofErr w:type="spellStart"/>
            <w:r>
              <w:t>Yimmugo</w:t>
            </w:r>
            <w:proofErr w:type="spellEnd"/>
          </w:p>
        </w:tc>
      </w:tr>
    </w:tbl>
    <w:p w:rsidRPr="001B13E5" w:rsidR="00FC1AAD" w:rsidP="00AA2A94" w:rsidRDefault="00ED052F" w14:paraId="14CE6108" w14:textId="26A7CE04">
      <w:pPr>
        <w:pStyle w:val="Heading2"/>
        <w:tabs>
          <w:tab w:val="left" w:pos="9540"/>
        </w:tabs>
      </w:pPr>
      <w:r w:rsidRPr="001B13E5">
        <w:t>Indications</w:t>
      </w:r>
    </w:p>
    <w:p w:rsidRPr="001B13E5" w:rsidR="00986B2B" w:rsidP="00986B2B" w:rsidRDefault="00986B2B" w14:paraId="5B094941" w14:textId="1082B556">
      <w:pPr>
        <w:pStyle w:val="BodyText"/>
      </w:pPr>
      <w:r w:rsidRPr="001B13E5">
        <w:t>The indications below including FDA-approved indications and compendial uses are considered a covered benefit provided that all the approval criteria are met and the member has no exclusions to the prescribed therapy.</w:t>
      </w:r>
    </w:p>
    <w:p w:rsidRPr="001B13E5" w:rsidR="00ED052F" w:rsidP="00ED052F" w:rsidRDefault="00ED052F" w14:paraId="134B5687" w14:textId="3A26A2D6">
      <w:pPr>
        <w:pStyle w:val="Heading3"/>
        <w:keepNext w:val="0"/>
      </w:pPr>
      <w:r w:rsidRPr="001B13E5">
        <w:t>FDA-approved Indications</w:t>
      </w:r>
    </w:p>
    <w:p w:rsidRPr="001B13E5" w:rsidR="00986B2B" w:rsidP="001B13E5" w:rsidRDefault="00986B2B" w14:paraId="14410070" w14:textId="07638B5D">
      <w:pPr>
        <w:pStyle w:val="ListParagraph"/>
        <w:numPr>
          <w:ilvl w:val="0"/>
          <w:numId w:val="21"/>
        </w:numPr>
      </w:pPr>
      <w:r w:rsidRPr="001B13E5">
        <w:t>Primary immunodeficiency</w:t>
      </w:r>
    </w:p>
    <w:p w:rsidRPr="001B13E5" w:rsidR="00986B2B" w:rsidP="001B13E5" w:rsidRDefault="00986B2B" w14:paraId="1CBA829C" w14:textId="4A674B28">
      <w:pPr>
        <w:pStyle w:val="ListParagraph"/>
        <w:numPr>
          <w:ilvl w:val="0"/>
          <w:numId w:val="21"/>
        </w:numPr>
      </w:pPr>
      <w:r w:rsidRPr="001B13E5">
        <w:t>Idiopathic thrombocytopenic purpura (ITP)</w:t>
      </w:r>
    </w:p>
    <w:p w:rsidRPr="001B13E5" w:rsidR="00986B2B" w:rsidP="001B13E5" w:rsidRDefault="00986B2B" w14:paraId="3A31694F" w14:textId="335F2AD0">
      <w:pPr>
        <w:pStyle w:val="ListParagraph"/>
        <w:numPr>
          <w:ilvl w:val="0"/>
          <w:numId w:val="21"/>
        </w:numPr>
      </w:pPr>
      <w:r w:rsidRPr="001B13E5">
        <w:t>Chronic inflammatory demyelinating polyneuropathy (CIDP)</w:t>
      </w:r>
    </w:p>
    <w:p w:rsidRPr="001B13E5" w:rsidR="00986B2B" w:rsidP="001B13E5" w:rsidRDefault="00986B2B" w14:paraId="14A1DA99" w14:textId="267A4DB5">
      <w:pPr>
        <w:pStyle w:val="ListParagraph"/>
        <w:numPr>
          <w:ilvl w:val="0"/>
          <w:numId w:val="21"/>
        </w:numPr>
      </w:pPr>
      <w:r w:rsidRPr="001B13E5">
        <w:t>Multifocal motor neuropathy</w:t>
      </w:r>
    </w:p>
    <w:p w:rsidRPr="001B13E5" w:rsidR="00986B2B" w:rsidP="001B13E5" w:rsidRDefault="00986B2B" w14:paraId="204BE81D" w14:textId="130AF589">
      <w:pPr>
        <w:pStyle w:val="ListParagraph"/>
        <w:numPr>
          <w:ilvl w:val="0"/>
          <w:numId w:val="21"/>
        </w:numPr>
      </w:pPr>
      <w:r w:rsidRPr="001B13E5">
        <w:t>Kawasaki syndrome</w:t>
      </w:r>
    </w:p>
    <w:p w:rsidRPr="001B13E5" w:rsidR="00986B2B" w:rsidP="001B13E5" w:rsidRDefault="00986B2B" w14:paraId="1B1473C8" w14:textId="55F22FE8">
      <w:pPr>
        <w:pStyle w:val="ListParagraph"/>
        <w:numPr>
          <w:ilvl w:val="0"/>
          <w:numId w:val="21"/>
        </w:numPr>
      </w:pPr>
      <w:r w:rsidRPr="001B13E5">
        <w:t>B-cell chronic lymphocytic leukemia (CLL)</w:t>
      </w:r>
    </w:p>
    <w:p w:rsidRPr="001B13E5" w:rsidR="00986B2B" w:rsidP="001B13E5" w:rsidRDefault="00986B2B" w14:paraId="31541628" w14:textId="31E09FE9">
      <w:pPr>
        <w:pStyle w:val="ListParagraph"/>
        <w:numPr>
          <w:ilvl w:val="0"/>
          <w:numId w:val="21"/>
        </w:numPr>
      </w:pPr>
      <w:r w:rsidRPr="001B13E5">
        <w:t>Dermatomyositis</w:t>
      </w:r>
    </w:p>
    <w:p w:rsidRPr="001B13E5" w:rsidR="0044763A" w:rsidP="0044763A" w:rsidRDefault="009F2EF1" w14:paraId="0B5EC236" w14:textId="27CA4C7A">
      <w:pPr>
        <w:pStyle w:val="Heading3"/>
      </w:pPr>
      <w:r w:rsidRPr="001B13E5">
        <w:t>Compendial Uses</w:t>
      </w:r>
    </w:p>
    <w:p w:rsidRPr="001B13E5" w:rsidR="00986B2B" w:rsidP="001B13E5" w:rsidRDefault="00986B2B" w14:paraId="1607431E" w14:textId="377FF7C9">
      <w:pPr>
        <w:pStyle w:val="ListParagraph"/>
        <w:numPr>
          <w:ilvl w:val="0"/>
          <w:numId w:val="22"/>
        </w:numPr>
      </w:pPr>
      <w:r w:rsidRPr="001B13E5">
        <w:rPr>
          <w:rFonts w:eastAsia="SimSun"/>
        </w:rPr>
        <w:t>Prophylaxis of bacterial infections in pediatric human immunodeficiency virus (HIV) infection</w:t>
      </w:r>
    </w:p>
    <w:p w:rsidRPr="001B13E5" w:rsidR="00986B2B" w:rsidP="001B13E5" w:rsidRDefault="00986B2B" w14:paraId="2FA69789" w14:textId="09824C78">
      <w:pPr>
        <w:pStyle w:val="ListParagraph"/>
        <w:numPr>
          <w:ilvl w:val="0"/>
          <w:numId w:val="22"/>
        </w:numPr>
      </w:pPr>
      <w:r w:rsidRPr="001B13E5">
        <w:rPr>
          <w:rFonts w:eastAsia="SimSun"/>
        </w:rPr>
        <w:t>Bone marrow transplant (BMT)/hematopoietic stem cell transplant (HSCT)</w:t>
      </w:r>
    </w:p>
    <w:p w:rsidRPr="001B13E5" w:rsidR="00986B2B" w:rsidP="001B13E5" w:rsidRDefault="00986B2B" w14:paraId="2510411B" w14:textId="41DEA96B">
      <w:pPr>
        <w:pStyle w:val="ListParagraph"/>
        <w:numPr>
          <w:ilvl w:val="0"/>
          <w:numId w:val="22"/>
        </w:numPr>
      </w:pPr>
      <w:r w:rsidRPr="001B13E5">
        <w:rPr>
          <w:rFonts w:eastAsia="SimSun"/>
        </w:rPr>
        <w:t>Polymyositis</w:t>
      </w:r>
    </w:p>
    <w:p w:rsidRPr="001B13E5" w:rsidR="00986B2B" w:rsidP="001B13E5" w:rsidRDefault="00986B2B" w14:paraId="7B9E7695" w14:textId="3E64DB8B">
      <w:pPr>
        <w:pStyle w:val="ListParagraph"/>
        <w:numPr>
          <w:ilvl w:val="0"/>
          <w:numId w:val="22"/>
        </w:numPr>
      </w:pPr>
      <w:r w:rsidRPr="001B13E5">
        <w:rPr>
          <w:rFonts w:eastAsia="SimSun"/>
        </w:rPr>
        <w:t>Myasthenia gravis</w:t>
      </w:r>
    </w:p>
    <w:p w:rsidRPr="001B13E5" w:rsidR="00986B2B" w:rsidP="001B13E5" w:rsidRDefault="00986B2B" w14:paraId="093820CD" w14:textId="1D36AA37">
      <w:pPr>
        <w:pStyle w:val="ListParagraph"/>
        <w:numPr>
          <w:ilvl w:val="0"/>
          <w:numId w:val="22"/>
        </w:numPr>
      </w:pPr>
      <w:r w:rsidRPr="001B13E5">
        <w:rPr>
          <w:rFonts w:eastAsia="SimSun"/>
        </w:rPr>
        <w:t>Guillain-</w:t>
      </w:r>
      <w:r w:rsidRPr="001B13E5">
        <w:t>Barré</w:t>
      </w:r>
      <w:r w:rsidRPr="001B13E5">
        <w:rPr>
          <w:rFonts w:eastAsia="SimSun"/>
        </w:rPr>
        <w:t xml:space="preserve"> syndrome</w:t>
      </w:r>
    </w:p>
    <w:p w:rsidRPr="001B13E5" w:rsidR="00986B2B" w:rsidP="001B13E5" w:rsidRDefault="00986B2B" w14:paraId="494F16E3" w14:textId="6A8B7E43">
      <w:pPr>
        <w:pStyle w:val="ListParagraph"/>
        <w:numPr>
          <w:ilvl w:val="0"/>
          <w:numId w:val="22"/>
        </w:numPr>
      </w:pPr>
      <w:r w:rsidRPr="001B13E5">
        <w:rPr>
          <w:rFonts w:eastAsia="SimSun"/>
        </w:rPr>
        <w:t>Lambert-Eaton myasthenic syndrome</w:t>
      </w:r>
    </w:p>
    <w:p w:rsidRPr="001B13E5" w:rsidR="00986B2B" w:rsidP="001B13E5" w:rsidRDefault="00986B2B" w14:paraId="7A2DE810" w14:textId="251DCF96">
      <w:pPr>
        <w:pStyle w:val="ListParagraph"/>
        <w:numPr>
          <w:ilvl w:val="0"/>
          <w:numId w:val="22"/>
        </w:numPr>
      </w:pPr>
      <w:r w:rsidRPr="001B13E5">
        <w:rPr>
          <w:rFonts w:eastAsia="SimSun"/>
        </w:rPr>
        <w:t>Fetal/neonatal alloimmune thrombocytopenia</w:t>
      </w:r>
    </w:p>
    <w:p w:rsidRPr="001B13E5" w:rsidR="00986B2B" w:rsidP="001B13E5" w:rsidRDefault="00986B2B" w14:paraId="4E2CB9B4" w14:textId="57C004CC">
      <w:pPr>
        <w:pStyle w:val="ListParagraph"/>
        <w:numPr>
          <w:ilvl w:val="0"/>
          <w:numId w:val="22"/>
        </w:numPr>
        <w:rPr>
          <w:vertAlign w:val="superscript"/>
        </w:rPr>
      </w:pPr>
      <w:r w:rsidRPr="001B13E5">
        <w:rPr>
          <w:rFonts w:eastAsia="SimSun"/>
        </w:rPr>
        <w:t>Parvovirus B19-induced pure red cell aplasia</w:t>
      </w:r>
    </w:p>
    <w:p w:rsidRPr="001B13E5" w:rsidR="00986B2B" w:rsidP="001B13E5" w:rsidRDefault="00986B2B" w14:paraId="24DD0D07" w14:textId="7368A83C">
      <w:pPr>
        <w:pStyle w:val="ListParagraph"/>
        <w:numPr>
          <w:ilvl w:val="0"/>
          <w:numId w:val="22"/>
        </w:numPr>
      </w:pPr>
      <w:r w:rsidRPr="001B13E5">
        <w:t>Stiff-person syndrome</w:t>
      </w:r>
    </w:p>
    <w:p w:rsidRPr="001B13E5" w:rsidR="00986B2B" w:rsidP="78A864EB" w:rsidRDefault="00986B2B" w14:paraId="4F4988D4" w14:textId="0BB1ED7D">
      <w:pPr>
        <w:pStyle w:val="ListParagraph"/>
        <w:rPr>
          <w:rFonts w:eastAsia="SimSun"/>
        </w:rPr>
      </w:pPr>
      <w:r w:rsidRPr="78A864EB" w:rsidR="00986B2B">
        <w:rPr>
          <w:rFonts w:eastAsia="SimSun"/>
        </w:rPr>
        <w:t xml:space="preserve">Management of immune checkpoint inhibitor-related </w:t>
      </w:r>
      <w:r w:rsidRPr="78A864EB" w:rsidR="7008BAB5">
        <w:rPr>
          <w:rFonts w:eastAsia="SimSun"/>
        </w:rPr>
        <w:t>toxicities</w:t>
      </w:r>
    </w:p>
    <w:p w:rsidRPr="001B13E5" w:rsidR="00986B2B" w:rsidP="001B13E5" w:rsidRDefault="00986B2B" w14:paraId="53130B33" w14:textId="233C43F2">
      <w:pPr>
        <w:pStyle w:val="ListParagraph"/>
        <w:numPr>
          <w:ilvl w:val="0"/>
          <w:numId w:val="22"/>
        </w:numPr>
      </w:pPr>
      <w:r w:rsidRPr="001B13E5">
        <w:t>Acquired red cell aplasia</w:t>
      </w:r>
    </w:p>
    <w:p w:rsidRPr="001B13E5" w:rsidR="00986B2B" w:rsidP="001B13E5" w:rsidRDefault="00986B2B" w14:paraId="1CA189BB" w14:textId="249DE8C3">
      <w:pPr>
        <w:pStyle w:val="ListParagraph"/>
        <w:numPr>
          <w:ilvl w:val="0"/>
          <w:numId w:val="22"/>
        </w:numPr>
      </w:pPr>
      <w:r w:rsidRPr="001B13E5">
        <w:t>Acute disseminated encephalomyelitis</w:t>
      </w:r>
    </w:p>
    <w:p w:rsidRPr="001B13E5" w:rsidR="00986B2B" w:rsidP="001B13E5" w:rsidRDefault="00986B2B" w14:paraId="7C2D9B7A" w14:textId="4CEF893B">
      <w:pPr>
        <w:pStyle w:val="ListParagraph"/>
        <w:numPr>
          <w:ilvl w:val="0"/>
          <w:numId w:val="22"/>
        </w:numPr>
      </w:pPr>
      <w:r w:rsidRPr="001B13E5">
        <w:t>Autoimmune mucocutaneous blistering diseases</w:t>
      </w:r>
    </w:p>
    <w:p w:rsidRPr="001B13E5" w:rsidR="00986B2B" w:rsidP="001B13E5" w:rsidRDefault="00986B2B" w14:paraId="7CB2A1A2" w14:textId="71062772">
      <w:pPr>
        <w:pStyle w:val="ListParagraph"/>
        <w:numPr>
          <w:ilvl w:val="0"/>
          <w:numId w:val="22"/>
        </w:numPr>
      </w:pPr>
      <w:r w:rsidRPr="001B13E5">
        <w:t>Autoimmune hemolytic anemia</w:t>
      </w:r>
    </w:p>
    <w:p w:rsidRPr="001B13E5" w:rsidR="00986B2B" w:rsidP="001B13E5" w:rsidRDefault="00986B2B" w14:paraId="6BEFD00A" w14:textId="62D1200B">
      <w:pPr>
        <w:pStyle w:val="ListParagraph"/>
        <w:numPr>
          <w:ilvl w:val="0"/>
          <w:numId w:val="22"/>
        </w:numPr>
      </w:pPr>
      <w:r w:rsidRPr="001B13E5">
        <w:t>Autoimmune neutropenia</w:t>
      </w:r>
    </w:p>
    <w:p w:rsidRPr="001B13E5" w:rsidR="00986B2B" w:rsidP="001B13E5" w:rsidRDefault="00986B2B" w14:paraId="6A0D0A23" w14:textId="4331E0C1">
      <w:pPr>
        <w:pStyle w:val="ListParagraph"/>
        <w:numPr>
          <w:ilvl w:val="0"/>
          <w:numId w:val="22"/>
        </w:numPr>
      </w:pPr>
      <w:r w:rsidRPr="001B13E5">
        <w:t xml:space="preserve">Birdshot </w:t>
      </w:r>
      <w:proofErr w:type="spellStart"/>
      <w:r w:rsidRPr="001B13E5">
        <w:t>retinochoroidopathy</w:t>
      </w:r>
      <w:proofErr w:type="spellEnd"/>
    </w:p>
    <w:p w:rsidRPr="001B13E5" w:rsidR="00986B2B" w:rsidP="001B13E5" w:rsidRDefault="00986B2B" w14:paraId="114AE052" w14:textId="1C820DC1">
      <w:pPr>
        <w:pStyle w:val="ListParagraph"/>
        <w:numPr>
          <w:ilvl w:val="0"/>
          <w:numId w:val="22"/>
        </w:numPr>
      </w:pPr>
      <w:r w:rsidRPr="001B13E5">
        <w:t>BK virus associated nephropathy</w:t>
      </w:r>
    </w:p>
    <w:p w:rsidRPr="001B13E5" w:rsidR="00986B2B" w:rsidP="001B13E5" w:rsidRDefault="00986B2B" w14:paraId="008C6A15" w14:textId="1B728CA5">
      <w:pPr>
        <w:pStyle w:val="ListParagraph"/>
        <w:numPr>
          <w:ilvl w:val="0"/>
          <w:numId w:val="22"/>
        </w:numPr>
      </w:pPr>
      <w:r w:rsidRPr="001B13E5">
        <w:t>Churg-Strauss Syndrome</w:t>
      </w:r>
    </w:p>
    <w:p w:rsidRPr="001B13E5" w:rsidR="00986B2B" w:rsidP="001B13E5" w:rsidRDefault="00986B2B" w14:paraId="25CE5543" w14:textId="575CF90B">
      <w:pPr>
        <w:pStyle w:val="ListParagraph"/>
        <w:numPr>
          <w:ilvl w:val="0"/>
          <w:numId w:val="22"/>
        </w:numPr>
      </w:pPr>
      <w:r w:rsidRPr="001B13E5">
        <w:t>Enteroviral meningoencephalitis</w:t>
      </w:r>
    </w:p>
    <w:p w:rsidRPr="001B13E5" w:rsidR="00986B2B" w:rsidP="001B13E5" w:rsidRDefault="00986B2B" w14:paraId="77A9B691" w14:textId="6356CD84">
      <w:pPr>
        <w:pStyle w:val="ListParagraph"/>
        <w:numPr>
          <w:ilvl w:val="0"/>
          <w:numId w:val="22"/>
        </w:numPr>
      </w:pPr>
      <w:proofErr w:type="spellStart"/>
      <w:r w:rsidRPr="001B13E5">
        <w:t>Hematophagocytic</w:t>
      </w:r>
      <w:proofErr w:type="spellEnd"/>
      <w:r w:rsidRPr="001B13E5">
        <w:t xml:space="preserve"> </w:t>
      </w:r>
      <w:proofErr w:type="spellStart"/>
      <w:r w:rsidRPr="001B13E5">
        <w:t>lymphohistiocytosis</w:t>
      </w:r>
      <w:proofErr w:type="spellEnd"/>
      <w:r w:rsidRPr="001B13E5">
        <w:t xml:space="preserve"> (HLH) or macrophage activation syndrome (MAS)</w:t>
      </w:r>
    </w:p>
    <w:p w:rsidRPr="001B13E5" w:rsidR="00986B2B" w:rsidP="001B13E5" w:rsidRDefault="00986B2B" w14:paraId="44CDCC1A" w14:textId="02FA5838">
      <w:pPr>
        <w:pStyle w:val="ListParagraph"/>
        <w:numPr>
          <w:ilvl w:val="0"/>
          <w:numId w:val="22"/>
        </w:numPr>
      </w:pPr>
      <w:r w:rsidRPr="001B13E5">
        <w:t>Hemolytic disease of newborn</w:t>
      </w:r>
    </w:p>
    <w:p w:rsidRPr="001B13E5" w:rsidR="00986B2B" w:rsidP="001B13E5" w:rsidRDefault="00986B2B" w14:paraId="261BE793" w14:textId="08A73B98">
      <w:pPr>
        <w:pStyle w:val="ListParagraph"/>
        <w:numPr>
          <w:ilvl w:val="0"/>
          <w:numId w:val="22"/>
        </w:numPr>
      </w:pPr>
      <w:r w:rsidRPr="001B13E5">
        <w:t>HIV-associated thrombocytopenia</w:t>
      </w:r>
    </w:p>
    <w:p w:rsidRPr="001B13E5" w:rsidR="00986B2B" w:rsidP="001B13E5" w:rsidRDefault="00986B2B" w14:paraId="178FBBFC" w14:textId="1B8FE758">
      <w:pPr>
        <w:pStyle w:val="ListParagraph"/>
        <w:numPr>
          <w:ilvl w:val="0"/>
          <w:numId w:val="22"/>
        </w:numPr>
      </w:pPr>
      <w:proofErr w:type="spellStart"/>
      <w:r w:rsidRPr="001B13E5">
        <w:t>Hyperimmunoglobulinemia</w:t>
      </w:r>
      <w:proofErr w:type="spellEnd"/>
      <w:r w:rsidRPr="001B13E5">
        <w:t xml:space="preserve"> E Syndrome</w:t>
      </w:r>
    </w:p>
    <w:p w:rsidRPr="001B13E5" w:rsidR="00986B2B" w:rsidP="001B13E5" w:rsidRDefault="00986B2B" w14:paraId="002B7443" w14:textId="4F083B74">
      <w:pPr>
        <w:pStyle w:val="ListParagraph"/>
        <w:numPr>
          <w:ilvl w:val="0"/>
          <w:numId w:val="22"/>
        </w:numPr>
      </w:pPr>
      <w:r w:rsidRPr="001B13E5">
        <w:t>Hypogammaglobulinemia from chimeric antigen receptor T (CAR-T) therapy</w:t>
      </w:r>
    </w:p>
    <w:p w:rsidRPr="001B13E5" w:rsidR="00986B2B" w:rsidP="001B13E5" w:rsidRDefault="00986B2B" w14:paraId="1E17ED48" w14:textId="45F8362D">
      <w:pPr>
        <w:pStyle w:val="ListParagraph"/>
        <w:numPr>
          <w:ilvl w:val="0"/>
          <w:numId w:val="22"/>
        </w:numPr>
      </w:pPr>
      <w:r w:rsidRPr="001B13E5">
        <w:t>Multiple myeloma</w:t>
      </w:r>
    </w:p>
    <w:p w:rsidRPr="001B13E5" w:rsidR="00986B2B" w:rsidP="001B13E5" w:rsidRDefault="00986B2B" w14:paraId="16F6ACD1" w14:textId="15C52174">
      <w:pPr>
        <w:pStyle w:val="ListParagraph"/>
        <w:numPr>
          <w:ilvl w:val="0"/>
          <w:numId w:val="22"/>
        </w:numPr>
      </w:pPr>
      <w:r w:rsidRPr="001B13E5">
        <w:t>Neonatal hemochromatosis, prophylaxis</w:t>
      </w:r>
    </w:p>
    <w:p w:rsidRPr="001B13E5" w:rsidR="00986B2B" w:rsidP="001B13E5" w:rsidRDefault="00986B2B" w14:paraId="10507EA2" w14:textId="759C1AA7">
      <w:pPr>
        <w:pStyle w:val="ListParagraph"/>
        <w:numPr>
          <w:ilvl w:val="0"/>
          <w:numId w:val="22"/>
        </w:numPr>
      </w:pPr>
      <w:r w:rsidRPr="001B13E5">
        <w:t>Opsoclonus-myoclonus</w:t>
      </w:r>
    </w:p>
    <w:p w:rsidRPr="001B13E5" w:rsidR="00986B2B" w:rsidP="78A864EB" w:rsidRDefault="00986B2B" w14:paraId="7B16C2DF" w14:textId="5E21EB48">
      <w:pPr>
        <w:pStyle w:val="ListParagraph"/>
        <w:rPr/>
      </w:pPr>
      <w:r w:rsidR="00986B2B">
        <w:rPr/>
        <w:t xml:space="preserve">Paraneoplastic </w:t>
      </w:r>
      <w:r w:rsidR="00986B2B">
        <w:rPr/>
        <w:t>opso</w:t>
      </w:r>
      <w:r w:rsidR="30555355">
        <w:rPr/>
        <w:t>clo</w:t>
      </w:r>
      <w:r w:rsidR="00986B2B">
        <w:rPr/>
        <w:t>nus</w:t>
      </w:r>
      <w:r w:rsidR="00986B2B">
        <w:rPr/>
        <w:t>-myoclonus ataxia associated with neuroblastoma</w:t>
      </w:r>
    </w:p>
    <w:p w:rsidRPr="001B13E5" w:rsidR="00986B2B" w:rsidP="001B13E5" w:rsidRDefault="00986B2B" w14:paraId="333EE3CB" w14:textId="73CE52D1">
      <w:pPr>
        <w:pStyle w:val="ListParagraph"/>
        <w:numPr>
          <w:ilvl w:val="0"/>
          <w:numId w:val="22"/>
        </w:numPr>
      </w:pPr>
      <w:r w:rsidRPr="001B13E5">
        <w:t>Post-transfusion purpura</w:t>
      </w:r>
    </w:p>
    <w:p w:rsidRPr="001B13E5" w:rsidR="00986B2B" w:rsidP="001B13E5" w:rsidRDefault="00986B2B" w14:paraId="0EB5A31D" w14:textId="0DBA19EC">
      <w:pPr>
        <w:pStyle w:val="ListParagraph"/>
        <w:numPr>
          <w:ilvl w:val="0"/>
          <w:numId w:val="22"/>
        </w:numPr>
      </w:pPr>
      <w:r w:rsidRPr="001B13E5">
        <w:t>Rasmussen encephalitis</w:t>
      </w:r>
    </w:p>
    <w:p w:rsidRPr="001B13E5" w:rsidR="00986B2B" w:rsidP="001B13E5" w:rsidRDefault="00986B2B" w14:paraId="693F4422" w14:textId="0B944909">
      <w:pPr>
        <w:pStyle w:val="ListParagraph"/>
        <w:numPr>
          <w:ilvl w:val="0"/>
          <w:numId w:val="22"/>
        </w:numPr>
      </w:pPr>
      <w:r w:rsidRPr="001B13E5">
        <w:t>Renal transplantation from a live donor with ABO incompatibility or positive cross match</w:t>
      </w:r>
    </w:p>
    <w:p w:rsidRPr="001B13E5" w:rsidR="00986B2B" w:rsidP="001B13E5" w:rsidRDefault="00986B2B" w14:paraId="3B25B9D3" w14:textId="157996D0">
      <w:pPr>
        <w:pStyle w:val="ListParagraph"/>
        <w:numPr>
          <w:ilvl w:val="0"/>
          <w:numId w:val="22"/>
        </w:numPr>
      </w:pPr>
      <w:r w:rsidRPr="001B13E5">
        <w:t>Secondary immunosuppression associated with major surgery, hematological malignancy, major burns, and collagen-vascular diseases</w:t>
      </w:r>
    </w:p>
    <w:p w:rsidRPr="001B13E5" w:rsidR="00986B2B" w:rsidP="001B13E5" w:rsidRDefault="00986B2B" w14:paraId="31569597" w14:textId="06CD6347">
      <w:pPr>
        <w:pStyle w:val="ListParagraph"/>
        <w:numPr>
          <w:ilvl w:val="0"/>
          <w:numId w:val="22"/>
        </w:numPr>
      </w:pPr>
      <w:r w:rsidRPr="001B13E5">
        <w:t xml:space="preserve">Solid organ transplantation, for </w:t>
      </w:r>
      <w:proofErr w:type="spellStart"/>
      <w:r w:rsidRPr="001B13E5">
        <w:t>allosensitized</w:t>
      </w:r>
      <w:proofErr w:type="spellEnd"/>
      <w:r w:rsidRPr="001B13E5">
        <w:t xml:space="preserve"> members</w:t>
      </w:r>
    </w:p>
    <w:p w:rsidRPr="001B13E5" w:rsidR="00986B2B" w:rsidP="001B13E5" w:rsidRDefault="00986B2B" w14:paraId="61B595B3" w14:textId="53261255">
      <w:pPr>
        <w:pStyle w:val="ListParagraph"/>
        <w:numPr>
          <w:ilvl w:val="0"/>
          <w:numId w:val="22"/>
        </w:numPr>
      </w:pPr>
      <w:r w:rsidRPr="001B13E5">
        <w:t>Toxic epidermal necrolysis and Stevens-Johnson syndrome</w:t>
      </w:r>
    </w:p>
    <w:p w:rsidRPr="001B13E5" w:rsidR="00986B2B" w:rsidP="001B13E5" w:rsidRDefault="00986B2B" w14:paraId="0E3CD7AF" w14:textId="04B80057">
      <w:pPr>
        <w:pStyle w:val="ListParagraph"/>
        <w:numPr>
          <w:ilvl w:val="0"/>
          <w:numId w:val="22"/>
        </w:numPr>
      </w:pPr>
      <w:r w:rsidRPr="001B13E5">
        <w:t>Toxic shock syndrome</w:t>
      </w:r>
    </w:p>
    <w:p w:rsidRPr="001B13E5" w:rsidR="00986B2B" w:rsidP="001B13E5" w:rsidRDefault="00986B2B" w14:paraId="4F2B1E61" w14:textId="5DCBC7B6">
      <w:pPr>
        <w:pStyle w:val="ListParagraph"/>
        <w:numPr>
          <w:ilvl w:val="0"/>
          <w:numId w:val="22"/>
        </w:numPr>
      </w:pPr>
      <w:r w:rsidRPr="001B13E5">
        <w:t>Systemic lupus erythematosus (SLE)</w:t>
      </w:r>
    </w:p>
    <w:p w:rsidRPr="001B13E5" w:rsidR="00986B2B" w:rsidP="001B13E5" w:rsidRDefault="00986B2B" w14:paraId="443945DB" w14:textId="3545E89D">
      <w:pPr>
        <w:pStyle w:val="ListParagraph"/>
        <w:numPr>
          <w:ilvl w:val="0"/>
          <w:numId w:val="22"/>
        </w:numPr>
      </w:pPr>
      <w:r w:rsidRPr="001B13E5">
        <w:t>Toxic necrotizing fasciitis due to group A streptococcus</w:t>
      </w:r>
    </w:p>
    <w:p w:rsidRPr="001B13E5" w:rsidR="00986B2B" w:rsidP="001B13E5" w:rsidRDefault="00986B2B" w14:paraId="6439BB7F" w14:textId="242D4BB6">
      <w:pPr>
        <w:pStyle w:val="ListParagraph"/>
        <w:numPr>
          <w:ilvl w:val="0"/>
          <w:numId w:val="22"/>
        </w:numPr>
      </w:pPr>
      <w:r w:rsidRPr="001B13E5">
        <w:t>Measles (Rubeola) prophylaxis</w:t>
      </w:r>
    </w:p>
    <w:p w:rsidRPr="001B13E5" w:rsidR="00986B2B" w:rsidP="001B13E5" w:rsidRDefault="00986B2B" w14:paraId="15DAE848" w14:textId="29AA92D3">
      <w:pPr>
        <w:pStyle w:val="ListParagraph"/>
        <w:numPr>
          <w:ilvl w:val="0"/>
          <w:numId w:val="22"/>
        </w:numPr>
      </w:pPr>
      <w:r w:rsidRPr="001B13E5">
        <w:t>Tetanus treatment and prophylaxis</w:t>
      </w:r>
    </w:p>
    <w:p w:rsidRPr="001B13E5" w:rsidR="00986B2B" w:rsidP="001B13E5" w:rsidRDefault="00986B2B" w14:paraId="4EFBD729" w14:textId="669A2C5E">
      <w:pPr>
        <w:pStyle w:val="ListParagraph"/>
        <w:numPr>
          <w:ilvl w:val="0"/>
          <w:numId w:val="22"/>
        </w:numPr>
      </w:pPr>
      <w:r w:rsidRPr="001B13E5">
        <w:t>Varicella prophylaxis</w:t>
      </w:r>
    </w:p>
    <w:p w:rsidRPr="001B13E5" w:rsidR="00986B2B" w:rsidP="00986B2B" w:rsidRDefault="00986B2B" w14:paraId="5BC85176" w14:textId="46261D05">
      <w:pPr>
        <w:pStyle w:val="BodyText"/>
      </w:pPr>
      <w:r w:rsidRPr="001B13E5">
        <w:t xml:space="preserve">All other indications are considered experimental/investigational and </w:t>
      </w:r>
      <w:r w:rsidRPr="001B13E5">
        <w:rPr>
          <w:rFonts w:eastAsia="Arial"/>
        </w:rPr>
        <w:t>not medically necessary.</w:t>
      </w:r>
    </w:p>
    <w:p w:rsidRPr="001B13E5" w:rsidR="000D2496" w:rsidP="000D2496" w:rsidRDefault="000D2496" w14:paraId="36381B6D" w14:textId="39BC7AD8">
      <w:pPr>
        <w:pStyle w:val="Heading2"/>
      </w:pPr>
      <w:r w:rsidRPr="001B13E5">
        <w:t>Documentation</w:t>
      </w:r>
    </w:p>
    <w:p w:rsidRPr="001B13E5" w:rsidR="00986B2B" w:rsidP="00986B2B" w:rsidRDefault="00986B2B" w14:paraId="19167668" w14:textId="3F342428">
      <w:pPr>
        <w:pStyle w:val="BodyText"/>
      </w:pPr>
      <w:r w:rsidRPr="001B13E5">
        <w:t>The following information is necessary to initiate the prior authorization review:</w:t>
      </w:r>
    </w:p>
    <w:p w:rsidRPr="001B13E5" w:rsidR="00986B2B" w:rsidP="008108AD" w:rsidRDefault="00986B2B" w14:paraId="0DC9289C" w14:textId="77777777">
      <w:pPr>
        <w:pStyle w:val="Heading3"/>
      </w:pPr>
      <w:r w:rsidRPr="001B13E5">
        <w:t>Primary immunodeficiency</w:t>
      </w:r>
    </w:p>
    <w:p w:rsidRPr="001B13E5" w:rsidR="00986B2B" w:rsidP="001B13E5" w:rsidRDefault="00986B2B" w14:paraId="79279E51" w14:textId="77777777">
      <w:pPr>
        <w:pStyle w:val="ListParagraph"/>
        <w:numPr>
          <w:ilvl w:val="0"/>
          <w:numId w:val="23"/>
        </w:numPr>
      </w:pPr>
      <w:r w:rsidRPr="001B13E5">
        <w:t>Diagnostic test results</w:t>
      </w:r>
    </w:p>
    <w:p w:rsidRPr="001B13E5" w:rsidR="00986B2B" w:rsidP="001B13E5" w:rsidRDefault="00986B2B" w14:paraId="7FF18BB9" w14:textId="4E5BD61E">
      <w:pPr>
        <w:pStyle w:val="ListParagraph"/>
        <w:numPr>
          <w:ilvl w:val="1"/>
          <w:numId w:val="24"/>
        </w:numPr>
      </w:pPr>
      <w:r w:rsidRPr="001B13E5">
        <w:t>Copy of laboratory report with serum immunoglobulin levels: IgG, IgA, IgM, and IgG subclasses</w:t>
      </w:r>
    </w:p>
    <w:p w:rsidRPr="001B13E5" w:rsidR="00986B2B" w:rsidP="001B13E5" w:rsidRDefault="00986B2B" w14:paraId="708A339C" w14:textId="77777777">
      <w:pPr>
        <w:pStyle w:val="ListParagraph"/>
        <w:numPr>
          <w:ilvl w:val="1"/>
          <w:numId w:val="24"/>
        </w:numPr>
      </w:pPr>
      <w:r w:rsidRPr="001B13E5">
        <w:t>Vaccine response to pneumococcal polysaccharide vaccine (post-vaccination Streptococcus pneumoniae antibody titers)</w:t>
      </w:r>
    </w:p>
    <w:p w:rsidRPr="001B13E5" w:rsidR="00986B2B" w:rsidP="001B13E5" w:rsidRDefault="00986B2B" w14:paraId="00EAEE2C" w14:textId="77777777">
      <w:pPr>
        <w:pStyle w:val="ListParagraph"/>
        <w:numPr>
          <w:ilvl w:val="1"/>
          <w:numId w:val="24"/>
        </w:numPr>
      </w:pPr>
      <w:r w:rsidRPr="001B13E5">
        <w:t>Pertinent genetic or molecular testing in members with a known genetic disorder</w:t>
      </w:r>
    </w:p>
    <w:p w:rsidRPr="001B13E5" w:rsidR="00986B2B" w:rsidP="001B13E5" w:rsidRDefault="00986B2B" w14:paraId="4FBFC342" w14:textId="77777777">
      <w:pPr>
        <w:pStyle w:val="ListParagraph"/>
        <w:numPr>
          <w:ilvl w:val="1"/>
          <w:numId w:val="24"/>
        </w:numPr>
      </w:pPr>
      <w:r w:rsidRPr="001B13E5">
        <w:t>Copy of laboratory report with lymphocyte subset enumeration by flow cytometry</w:t>
      </w:r>
    </w:p>
    <w:p w:rsidRPr="001B13E5" w:rsidR="00986B2B" w:rsidP="001B13E5" w:rsidRDefault="00986B2B" w14:paraId="0AB29A71" w14:textId="34321098">
      <w:pPr>
        <w:pStyle w:val="ListParagraph"/>
        <w:numPr>
          <w:ilvl w:val="0"/>
          <w:numId w:val="23"/>
        </w:numPr>
      </w:pPr>
      <w:r w:rsidRPr="001B13E5">
        <w:t>IgG trough level for those continuing with IG therapy</w:t>
      </w:r>
    </w:p>
    <w:p w:rsidRPr="001B13E5" w:rsidR="00986B2B" w:rsidP="008108AD" w:rsidRDefault="00986B2B" w14:paraId="00DB895E" w14:textId="77777777">
      <w:pPr>
        <w:pStyle w:val="Heading3"/>
      </w:pPr>
      <w:r w:rsidRPr="001B13E5">
        <w:t>Myasthenia gravis</w:t>
      </w:r>
    </w:p>
    <w:p w:rsidRPr="001B13E5" w:rsidR="00986B2B" w:rsidP="001B13E5" w:rsidRDefault="00986B2B" w14:paraId="013183FD" w14:textId="77777777">
      <w:pPr>
        <w:pStyle w:val="ListParagraph"/>
        <w:numPr>
          <w:ilvl w:val="0"/>
          <w:numId w:val="25"/>
        </w:numPr>
      </w:pPr>
      <w:r w:rsidRPr="001B13E5">
        <w:t>Clinical records describing standard treatments tried and failed</w:t>
      </w:r>
    </w:p>
    <w:p w:rsidRPr="001B13E5" w:rsidR="00986B2B" w:rsidP="008108AD" w:rsidRDefault="00986B2B" w14:paraId="63A13429" w14:textId="4387927A">
      <w:pPr>
        <w:pStyle w:val="Heading3"/>
      </w:pPr>
      <w:r w:rsidRPr="001B13E5">
        <w:t>Secondary hypogammaglobulinemia (e.g., CLL, BMT/HSCT recipients)</w:t>
      </w:r>
    </w:p>
    <w:p w:rsidRPr="001B13E5" w:rsidR="00986B2B" w:rsidP="001B13E5" w:rsidRDefault="00986B2B" w14:paraId="3A5AF786" w14:textId="77777777">
      <w:pPr>
        <w:pStyle w:val="ListParagraph"/>
        <w:numPr>
          <w:ilvl w:val="0"/>
          <w:numId w:val="26"/>
        </w:numPr>
      </w:pPr>
      <w:r w:rsidRPr="001B13E5">
        <w:t>Copy of laboratory report with pre-treatment serum IgG level</w:t>
      </w:r>
    </w:p>
    <w:p w:rsidRPr="001B13E5" w:rsidR="00986B2B" w:rsidP="008108AD" w:rsidRDefault="00986B2B" w14:paraId="4ED6AD1D" w14:textId="7FB36CEF">
      <w:pPr>
        <w:pStyle w:val="Heading3"/>
      </w:pPr>
      <w:r w:rsidRPr="001B13E5">
        <w:t>Chronic inflammatory demyelinating polyneuropathy (CIDP) and multifocal motor neuropathy (MMN)</w:t>
      </w:r>
    </w:p>
    <w:p w:rsidRPr="001B13E5" w:rsidR="00986B2B" w:rsidP="008108AD" w:rsidRDefault="00986B2B" w14:paraId="1CBC1EC8" w14:textId="2167053C">
      <w:pPr>
        <w:pStyle w:val="ListParagraph"/>
      </w:pPr>
      <w:r w:rsidRPr="001B13E5">
        <w:t>Pre-treatment electrodiagnostic studies (electromyography [EMG] or nerve conduction studies [NCS])</w:t>
      </w:r>
    </w:p>
    <w:p w:rsidRPr="001B13E5" w:rsidR="00986B2B" w:rsidP="008108AD" w:rsidRDefault="00986B2B" w14:paraId="77F5B20C" w14:textId="0840A4BE">
      <w:pPr>
        <w:pStyle w:val="Heading3"/>
      </w:pPr>
      <w:r w:rsidRPr="001B13E5">
        <w:t>Dermatomyositis and polymyositis</w:t>
      </w:r>
    </w:p>
    <w:p w:rsidRPr="001B13E5" w:rsidR="00986B2B" w:rsidP="001B13E5" w:rsidRDefault="00986B2B" w14:paraId="27BC7CEF" w14:textId="77777777">
      <w:pPr>
        <w:pStyle w:val="ListParagraph"/>
        <w:numPr>
          <w:ilvl w:val="0"/>
          <w:numId w:val="27"/>
        </w:numPr>
      </w:pPr>
      <w:r w:rsidRPr="001B13E5">
        <w:t>Clinical records describing standard treatments tried and failed</w:t>
      </w:r>
    </w:p>
    <w:p w:rsidRPr="001B13E5" w:rsidR="00986B2B" w:rsidP="008108AD" w:rsidRDefault="00986B2B" w14:paraId="051198FF" w14:textId="77777777">
      <w:pPr>
        <w:pStyle w:val="Heading3"/>
      </w:pPr>
      <w:r w:rsidRPr="001B13E5">
        <w:t>Lambert-Eaton Myasthenic Syndrome (LEMS)</w:t>
      </w:r>
    </w:p>
    <w:p w:rsidRPr="001B13E5" w:rsidR="00986B2B" w:rsidP="001B13E5" w:rsidRDefault="00986B2B" w14:paraId="0F271CA5" w14:textId="32FCCD9D">
      <w:pPr>
        <w:pStyle w:val="ListParagraph"/>
        <w:numPr>
          <w:ilvl w:val="0"/>
          <w:numId w:val="28"/>
        </w:numPr>
      </w:pPr>
      <w:r w:rsidRPr="001B13E5">
        <w:t>Neurophysiology studies (e.g., electromyography)</w:t>
      </w:r>
    </w:p>
    <w:p w:rsidRPr="001B13E5" w:rsidR="00986B2B" w:rsidP="001B13E5" w:rsidRDefault="00986B2B" w14:paraId="6A82ADA5" w14:textId="77777777">
      <w:pPr>
        <w:pStyle w:val="ListParagraph"/>
        <w:numPr>
          <w:ilvl w:val="0"/>
          <w:numId w:val="28"/>
        </w:numPr>
      </w:pPr>
      <w:r w:rsidRPr="001B13E5">
        <w:t>A positive anti- P/Q type voltage-gated calcium channel antibody test</w:t>
      </w:r>
    </w:p>
    <w:p w:rsidRPr="001B13E5" w:rsidR="00986B2B" w:rsidP="008108AD" w:rsidRDefault="00986B2B" w14:paraId="324C8CA0" w14:textId="77777777">
      <w:pPr>
        <w:pStyle w:val="Heading3"/>
      </w:pPr>
      <w:r w:rsidRPr="001B13E5">
        <w:t>Idiopathic thrombocytopenic purpura</w:t>
      </w:r>
    </w:p>
    <w:p w:rsidRPr="001B13E5" w:rsidR="00986B2B" w:rsidP="001B13E5" w:rsidRDefault="00986B2B" w14:paraId="3DBBAF5D" w14:textId="77777777">
      <w:pPr>
        <w:pStyle w:val="ListParagraph"/>
        <w:numPr>
          <w:ilvl w:val="0"/>
          <w:numId w:val="29"/>
        </w:numPr>
      </w:pPr>
      <w:r w:rsidRPr="001B13E5">
        <w:t>Laboratory report with pre-treatment/current platelet count</w:t>
      </w:r>
    </w:p>
    <w:p w:rsidRPr="001B13E5" w:rsidR="00986B2B" w:rsidP="001B13E5" w:rsidRDefault="00986B2B" w14:paraId="6443696F" w14:textId="77777777">
      <w:pPr>
        <w:pStyle w:val="ListParagraph"/>
        <w:numPr>
          <w:ilvl w:val="0"/>
          <w:numId w:val="29"/>
        </w:numPr>
      </w:pPr>
      <w:r w:rsidRPr="001B13E5">
        <w:t>Chronic/persistent ITP: copy of medical records supporting trial and failure with corticosteroid or anti-D therapy (unless contraindicated)</w:t>
      </w:r>
    </w:p>
    <w:p w:rsidRPr="001B13E5" w:rsidR="00986B2B" w:rsidP="008108AD" w:rsidRDefault="00986B2B" w14:paraId="0930C1B0" w14:textId="77777777">
      <w:pPr>
        <w:pStyle w:val="Heading3"/>
      </w:pPr>
      <w:r w:rsidRPr="001B13E5">
        <w:t>Parvovirus B19-indicated Pure Red Cell Aplasia (PRCA)</w:t>
      </w:r>
    </w:p>
    <w:p w:rsidRPr="001B13E5" w:rsidR="00986B2B" w:rsidP="001B13E5" w:rsidRDefault="00986B2B" w14:paraId="2E8321CE" w14:textId="77777777">
      <w:pPr>
        <w:pStyle w:val="ListParagraph"/>
        <w:numPr>
          <w:ilvl w:val="0"/>
          <w:numId w:val="30"/>
        </w:numPr>
      </w:pPr>
      <w:r w:rsidRPr="001B13E5">
        <w:t>Copy of test result confirming presence of parvovirus B19</w:t>
      </w:r>
    </w:p>
    <w:p w:rsidRPr="001B13E5" w:rsidR="00986B2B" w:rsidP="008108AD" w:rsidRDefault="00986B2B" w14:paraId="77B49D65" w14:textId="77777777">
      <w:pPr>
        <w:pStyle w:val="Heading3"/>
      </w:pPr>
      <w:r w:rsidRPr="001B13E5">
        <w:t>Stiff-person syndrome</w:t>
      </w:r>
    </w:p>
    <w:p w:rsidRPr="001B13E5" w:rsidR="00986B2B" w:rsidP="001B13E5" w:rsidRDefault="00986B2B" w14:paraId="6707296B" w14:textId="77777777">
      <w:pPr>
        <w:pStyle w:val="ListParagraph"/>
        <w:numPr>
          <w:ilvl w:val="0"/>
          <w:numId w:val="31"/>
        </w:numPr>
      </w:pPr>
      <w:r w:rsidRPr="001B13E5">
        <w:t>Anti-glutamic acid decarboxylase (GAD) antibody testing results</w:t>
      </w:r>
    </w:p>
    <w:p w:rsidRPr="001B13E5" w:rsidR="00986B2B" w:rsidP="001B13E5" w:rsidRDefault="00986B2B" w14:paraId="18CCE649" w14:textId="77777777">
      <w:pPr>
        <w:pStyle w:val="ListParagraph"/>
        <w:numPr>
          <w:ilvl w:val="0"/>
          <w:numId w:val="31"/>
        </w:numPr>
      </w:pPr>
      <w:r w:rsidRPr="001B13E5">
        <w:t>Clinical records describing standard treatments tried and failed</w:t>
      </w:r>
    </w:p>
    <w:p w:rsidRPr="001B13E5" w:rsidR="00986B2B" w:rsidP="008108AD" w:rsidRDefault="00986B2B" w14:paraId="07AB2E07" w14:textId="77777777">
      <w:pPr>
        <w:pStyle w:val="Heading3"/>
      </w:pPr>
      <w:r w:rsidRPr="001B13E5">
        <w:t>Toxic shock syndrome or toxic necrotizing fasciitis due to group A streptococcus</w:t>
      </w:r>
    </w:p>
    <w:p w:rsidRPr="001B13E5" w:rsidR="00986B2B" w:rsidP="001B13E5" w:rsidRDefault="00986B2B" w14:paraId="4D117C2A" w14:textId="77777777">
      <w:pPr>
        <w:pStyle w:val="ListParagraph"/>
        <w:numPr>
          <w:ilvl w:val="0"/>
          <w:numId w:val="32"/>
        </w:numPr>
      </w:pPr>
      <w:r w:rsidRPr="001B13E5">
        <w:t>Documented presence of fasciitis (toxic necrotizing fasciitis due to group A streptococcus only)</w:t>
      </w:r>
    </w:p>
    <w:p w:rsidRPr="001B13E5" w:rsidR="00986B2B" w:rsidP="001B13E5" w:rsidRDefault="00986B2B" w14:paraId="2FC482D1" w14:textId="78CEB3A7">
      <w:pPr>
        <w:pStyle w:val="ListParagraph"/>
        <w:numPr>
          <w:ilvl w:val="0"/>
          <w:numId w:val="32"/>
        </w:numPr>
      </w:pPr>
      <w:r w:rsidRPr="001B13E5">
        <w:t>Microbiological data (culture or Gram stain)</w:t>
      </w:r>
    </w:p>
    <w:p w:rsidRPr="001B13E5" w:rsidR="00FE0C63" w:rsidP="00E050E1" w:rsidRDefault="00685107" w14:paraId="50A38FBA" w14:textId="068BC1DA">
      <w:pPr>
        <w:pStyle w:val="Heading2"/>
      </w:pPr>
      <w:r w:rsidRPr="001B13E5">
        <w:t>Coverage Criteria</w:t>
      </w:r>
    </w:p>
    <w:p w:rsidRPr="001B13E5" w:rsidR="00EA46AA" w:rsidP="00EA46AA" w:rsidRDefault="00EA46AA" w14:paraId="6C27016D" w14:textId="784AFE0D">
      <w:pPr>
        <w:pStyle w:val="Heading3"/>
      </w:pPr>
      <w:r w:rsidRPr="001B13E5">
        <w:t>Primary Immunodeficiency</w:t>
      </w:r>
    </w:p>
    <w:p w:rsidRPr="001B13E5" w:rsidR="00EA46AA" w:rsidP="00A833EF" w:rsidRDefault="00EA46AA" w14:paraId="2F6EB400" w14:textId="7AC68112">
      <w:pPr>
        <w:pStyle w:val="BodyText"/>
      </w:pPr>
      <w:r w:rsidRPr="001B13E5">
        <w:t>Initial authorization of 6 months may be granted for members with any of the following diagnoses:</w:t>
      </w:r>
    </w:p>
    <w:p w:rsidRPr="001B13E5" w:rsidR="00EA46AA" w:rsidP="001B13E5" w:rsidRDefault="00EA46AA" w14:paraId="44FC3226" w14:textId="13BC7AB9">
      <w:pPr>
        <w:pStyle w:val="ListParagraph"/>
      </w:pPr>
      <w:r w:rsidRPr="001B13E5">
        <w:t>Severe combined immunodeficiency (SCID) or congenital agammaglobulinemia (</w:t>
      </w:r>
      <w:proofErr w:type="spellStart"/>
      <w:r w:rsidRPr="001B13E5">
        <w:t>eg</w:t>
      </w:r>
      <w:proofErr w:type="spellEnd"/>
      <w:r w:rsidRPr="001B13E5">
        <w:t>, X-linked or autosomal recessive agammaglobulinemia):</w:t>
      </w:r>
    </w:p>
    <w:p w:rsidRPr="001B13E5" w:rsidR="00EA46AA" w:rsidP="001B13E5" w:rsidRDefault="00EA46AA" w14:paraId="1A1CC6F4" w14:textId="03A2C802">
      <w:pPr>
        <w:pStyle w:val="ListParagraph"/>
        <w:numPr>
          <w:ilvl w:val="1"/>
          <w:numId w:val="34"/>
        </w:numPr>
      </w:pPr>
      <w:r w:rsidRPr="001B13E5">
        <w:t>Diagnosis confirmed by genetic or molecular testing, or</w:t>
      </w:r>
    </w:p>
    <w:p w:rsidRPr="001B13E5" w:rsidR="00EA46AA" w:rsidP="001B13E5" w:rsidRDefault="00EA46AA" w14:paraId="5D094EBD" w14:textId="77777777">
      <w:pPr>
        <w:pStyle w:val="ListParagraph"/>
        <w:numPr>
          <w:ilvl w:val="1"/>
          <w:numId w:val="34"/>
        </w:numPr>
      </w:pPr>
      <w:r w:rsidRPr="001B13E5">
        <w:t>Pretreatment IgG level &lt; 200 mg/dL, or</w:t>
      </w:r>
    </w:p>
    <w:p w:rsidRPr="001B13E5" w:rsidR="00EA46AA" w:rsidP="001B13E5" w:rsidRDefault="00EA46AA" w14:paraId="33810EAA" w14:textId="16DF99AB">
      <w:pPr>
        <w:pStyle w:val="ListParagraph"/>
        <w:numPr>
          <w:ilvl w:val="1"/>
          <w:numId w:val="34"/>
        </w:numPr>
      </w:pPr>
      <w:r w:rsidRPr="001B13E5">
        <w:t>Absence or very low number of T cells (CD3 T cells &lt; 300/microliter) or the presence of maternal T cells in the circulation (SCID only)</w:t>
      </w:r>
    </w:p>
    <w:p w:rsidRPr="001B13E5" w:rsidR="00EA46AA" w:rsidP="001B13E5" w:rsidRDefault="00EA46AA" w14:paraId="791C53A4" w14:textId="5BF808CB">
      <w:pPr>
        <w:pStyle w:val="ListParagraph"/>
        <w:rPr>
          <w:vertAlign w:val="superscript"/>
        </w:rPr>
      </w:pPr>
      <w:proofErr w:type="spellStart"/>
      <w:r w:rsidRPr="001B13E5">
        <w:t>Wiskott</w:t>
      </w:r>
      <w:proofErr w:type="spellEnd"/>
      <w:r w:rsidRPr="001B13E5">
        <w:t>-Aldrich syndrome, DiGeorge syndrome, or ataxia-telangiectasia (or other non-SCID combined immunodeficiency):</w:t>
      </w:r>
    </w:p>
    <w:p w:rsidRPr="001B13E5" w:rsidR="00EA46AA" w:rsidP="001B13E5" w:rsidRDefault="00EA46AA" w14:paraId="4EC1AA25" w14:textId="1B16FDA7">
      <w:pPr>
        <w:pStyle w:val="ListParagraph"/>
        <w:numPr>
          <w:ilvl w:val="1"/>
          <w:numId w:val="35"/>
        </w:numPr>
      </w:pPr>
      <w:r w:rsidRPr="001B13E5">
        <w:t>Diagnosis confirmed by genetic or molecular testing (if applicable), and</w:t>
      </w:r>
    </w:p>
    <w:p w:rsidRPr="001B13E5" w:rsidR="00EA46AA" w:rsidP="001B13E5" w:rsidRDefault="00EA46AA" w14:paraId="76A9391C" w14:textId="77777777">
      <w:pPr>
        <w:pStyle w:val="ListParagraph"/>
        <w:numPr>
          <w:ilvl w:val="1"/>
          <w:numId w:val="35"/>
        </w:numPr>
      </w:pPr>
      <w:r w:rsidRPr="001B13E5">
        <w:t xml:space="preserve">History of recurrent bacterial infections (e.g., pneumonia, otitis media, sinusitis, sepsis, gastrointestinal), and </w:t>
      </w:r>
    </w:p>
    <w:p w:rsidRPr="001B13E5" w:rsidR="00EA46AA" w:rsidP="001B13E5" w:rsidRDefault="00EA46AA" w14:paraId="5500E80C" w14:textId="5C0DC2E9">
      <w:pPr>
        <w:pStyle w:val="ListParagraph"/>
        <w:numPr>
          <w:ilvl w:val="1"/>
          <w:numId w:val="35"/>
        </w:numPr>
      </w:pPr>
      <w:r w:rsidRPr="001B13E5">
        <w:t>Impaired antibody response to pneumococcal polysaccharide vaccine (see Appendix A)</w:t>
      </w:r>
    </w:p>
    <w:p w:rsidRPr="001B13E5" w:rsidR="00EA46AA" w:rsidP="001B13E5" w:rsidRDefault="00EA46AA" w14:paraId="1F75D044" w14:textId="7364A3C2">
      <w:pPr>
        <w:pStyle w:val="ListParagraph"/>
      </w:pPr>
      <w:r w:rsidRPr="001B13E5">
        <w:t>Common variable immunodeficiency (CVID):</w:t>
      </w:r>
    </w:p>
    <w:p w:rsidRPr="001B13E5" w:rsidR="00EA46AA" w:rsidP="001B13E5" w:rsidRDefault="00EA46AA" w14:paraId="05C3924E" w14:textId="44365791">
      <w:pPr>
        <w:pStyle w:val="ListParagraph"/>
        <w:numPr>
          <w:ilvl w:val="1"/>
          <w:numId w:val="36"/>
        </w:numPr>
      </w:pPr>
      <w:r w:rsidRPr="001B13E5">
        <w:t>Age 2 years or older, and</w:t>
      </w:r>
    </w:p>
    <w:p w:rsidRPr="001B13E5" w:rsidR="00EA46AA" w:rsidP="001B13E5" w:rsidRDefault="00EA46AA" w14:paraId="3AD06665" w14:textId="73CA294B">
      <w:pPr>
        <w:pStyle w:val="ListParagraph"/>
        <w:numPr>
          <w:ilvl w:val="1"/>
          <w:numId w:val="36"/>
        </w:numPr>
      </w:pPr>
      <w:r w:rsidRPr="001B13E5">
        <w:t>Other causes of immune deficiency have been excluded (e.g., drug induced, genetic disorders, infectious diseases such as HIV, malignancy), and</w:t>
      </w:r>
    </w:p>
    <w:p w:rsidRPr="001B13E5" w:rsidR="00EA46AA" w:rsidP="001B13E5" w:rsidRDefault="00EA46AA" w14:paraId="67F50309" w14:textId="2D9F175C">
      <w:pPr>
        <w:pStyle w:val="ListParagraph"/>
        <w:numPr>
          <w:ilvl w:val="1"/>
          <w:numId w:val="36"/>
        </w:numPr>
      </w:pPr>
      <w:r w:rsidRPr="001B13E5">
        <w:t xml:space="preserve">Pretreatment IgG level &lt; 500 mg/dL or </w:t>
      </w:r>
      <w:r w:rsidRPr="001B13E5">
        <w:rPr>
          <w:rFonts w:ascii="Cambria Math" w:hAnsi="Cambria Math" w:cs="Cambria Math"/>
        </w:rPr>
        <w:t>≥</w:t>
      </w:r>
      <w:r w:rsidRPr="001B13E5">
        <w:t xml:space="preserve"> 2 SD below the mean for age, and</w:t>
      </w:r>
    </w:p>
    <w:p w:rsidRPr="001B13E5" w:rsidR="00EA46AA" w:rsidP="001B13E5" w:rsidRDefault="00EA46AA" w14:paraId="3D826203" w14:textId="4B4FFAAA">
      <w:pPr>
        <w:pStyle w:val="ListParagraph"/>
        <w:numPr>
          <w:ilvl w:val="1"/>
          <w:numId w:val="36"/>
        </w:numPr>
      </w:pPr>
      <w:r w:rsidRPr="001B13E5">
        <w:t>History of recurrent bacterial infections, and</w:t>
      </w:r>
    </w:p>
    <w:p w:rsidRPr="001B13E5" w:rsidR="00EA46AA" w:rsidP="001B13E5" w:rsidRDefault="00EA46AA" w14:paraId="12795BFC" w14:textId="644B812D">
      <w:pPr>
        <w:pStyle w:val="ListParagraph"/>
        <w:numPr>
          <w:ilvl w:val="1"/>
          <w:numId w:val="36"/>
        </w:numPr>
      </w:pPr>
      <w:r w:rsidRPr="001B13E5">
        <w:t>Impaired antibody response to pneumococcal polysaccharide vaccine (see Appendix A)</w:t>
      </w:r>
    </w:p>
    <w:p w:rsidRPr="001B13E5" w:rsidR="00EA46AA" w:rsidP="001B13E5" w:rsidRDefault="00EA46AA" w14:paraId="54CA7ED4" w14:textId="0CE5CC37">
      <w:pPr>
        <w:pStyle w:val="ListParagraph"/>
      </w:pPr>
      <w:r w:rsidRPr="001B13E5">
        <w:t>Hypogammaglobulinemia (unspecified), IgG subclass deficiency, selective IgA deficiency, selective IgM deficiency, or specific antibody deficiency:</w:t>
      </w:r>
    </w:p>
    <w:p w:rsidRPr="001B13E5" w:rsidR="00EA46AA" w:rsidP="001B13E5" w:rsidRDefault="00EA46AA" w14:paraId="77707244" w14:textId="16810187">
      <w:pPr>
        <w:pStyle w:val="ListParagraph"/>
        <w:numPr>
          <w:ilvl w:val="1"/>
          <w:numId w:val="37"/>
        </w:numPr>
      </w:pPr>
      <w:r w:rsidRPr="001B13E5">
        <w:t>History of recurrent bacterial infections, and</w:t>
      </w:r>
    </w:p>
    <w:p w:rsidRPr="001B13E5" w:rsidR="00EA46AA" w:rsidP="001B13E5" w:rsidRDefault="00EA46AA" w14:paraId="2FDC8015" w14:textId="6E24455F">
      <w:pPr>
        <w:pStyle w:val="ListParagraph"/>
        <w:numPr>
          <w:ilvl w:val="1"/>
          <w:numId w:val="37"/>
        </w:numPr>
      </w:pPr>
      <w:r w:rsidRPr="001B13E5">
        <w:t>Impaired antibody response to pneumococcal polysaccharide vaccine (see Appendix A), and</w:t>
      </w:r>
    </w:p>
    <w:p w:rsidRPr="001B13E5" w:rsidR="00EA46AA" w:rsidP="001B13E5" w:rsidRDefault="00EA46AA" w14:paraId="392A7654" w14:textId="00864999">
      <w:pPr>
        <w:pStyle w:val="ListParagraph"/>
        <w:numPr>
          <w:ilvl w:val="1"/>
          <w:numId w:val="37"/>
        </w:numPr>
      </w:pPr>
      <w:r w:rsidRPr="001B13E5">
        <w:t>Any of the following pre-treatment laboratory findings:</w:t>
      </w:r>
    </w:p>
    <w:p w:rsidRPr="001B13E5" w:rsidR="00EA46AA" w:rsidP="001B13E5" w:rsidRDefault="00EA46AA" w14:paraId="2D0A400B" w14:textId="3AC21E44">
      <w:pPr>
        <w:pStyle w:val="ListParagraph"/>
        <w:numPr>
          <w:ilvl w:val="2"/>
          <w:numId w:val="38"/>
        </w:numPr>
      </w:pPr>
      <w:r w:rsidRPr="001B13E5">
        <w:t xml:space="preserve">Hypogammaglobulinemia: IgG &lt; 500 mg/dL or </w:t>
      </w:r>
      <w:r w:rsidRPr="001B13E5">
        <w:rPr>
          <w:rFonts w:ascii="Cambria Math" w:hAnsi="Cambria Math" w:cs="Cambria Math"/>
        </w:rPr>
        <w:t>≥</w:t>
      </w:r>
      <w:r w:rsidRPr="001B13E5">
        <w:t xml:space="preserve"> 2 SD below the mean for age</w:t>
      </w:r>
    </w:p>
    <w:p w:rsidRPr="001B13E5" w:rsidR="00EA46AA" w:rsidP="001B13E5" w:rsidRDefault="00EA46AA" w14:paraId="7D47C36E" w14:textId="440FEC92">
      <w:pPr>
        <w:pStyle w:val="ListParagraph"/>
        <w:numPr>
          <w:ilvl w:val="2"/>
          <w:numId w:val="38"/>
        </w:numPr>
      </w:pPr>
      <w:r w:rsidRPr="001B13E5">
        <w:t>Selective IgA deficiency: IgA level &lt; 7 mg/dL with normal IgG and IgM levels</w:t>
      </w:r>
    </w:p>
    <w:p w:rsidRPr="001B13E5" w:rsidR="00EA46AA" w:rsidP="001B13E5" w:rsidRDefault="00EA46AA" w14:paraId="45214035" w14:textId="31F3887D">
      <w:pPr>
        <w:pStyle w:val="ListParagraph"/>
        <w:numPr>
          <w:ilvl w:val="2"/>
          <w:numId w:val="38"/>
        </w:numPr>
      </w:pPr>
      <w:r w:rsidRPr="001B13E5">
        <w:t>Selective IgM deficiency: IgM level &lt; 30 mg/dL with normal IgG and IgA levels</w:t>
      </w:r>
    </w:p>
    <w:p w:rsidRPr="001B13E5" w:rsidR="00EA46AA" w:rsidP="001B13E5" w:rsidRDefault="00EA46AA" w14:paraId="27A904CD" w14:textId="66C7E904">
      <w:pPr>
        <w:pStyle w:val="ListParagraph"/>
        <w:numPr>
          <w:ilvl w:val="2"/>
          <w:numId w:val="38"/>
        </w:numPr>
      </w:pPr>
      <w:r w:rsidRPr="001B13E5">
        <w:t xml:space="preserve">IgG subclass deficiency: IgG1, IgG2, or IgG3 </w:t>
      </w:r>
      <w:r w:rsidRPr="001B13E5">
        <w:rPr>
          <w:rFonts w:ascii="Cambria Math" w:hAnsi="Cambria Math" w:cs="Cambria Math"/>
        </w:rPr>
        <w:t>≥</w:t>
      </w:r>
      <w:r w:rsidRPr="001B13E5">
        <w:t xml:space="preserve"> 2 SD below mean for age assessed on at least 2 occasions; normal IgG (total) and IgM levels, normal/low IgA levels</w:t>
      </w:r>
    </w:p>
    <w:p w:rsidRPr="001B13E5" w:rsidR="00EA46AA" w:rsidP="001B13E5" w:rsidRDefault="00EA46AA" w14:paraId="568C3BE7" w14:textId="1E4334D8">
      <w:pPr>
        <w:pStyle w:val="ListParagraph"/>
        <w:numPr>
          <w:ilvl w:val="2"/>
          <w:numId w:val="38"/>
        </w:numPr>
      </w:pPr>
      <w:r w:rsidRPr="001B13E5">
        <w:t>Specific antibody deficiency: normal IgG, IgA and IgM levels</w:t>
      </w:r>
    </w:p>
    <w:p w:rsidR="00E20FA8" w:rsidP="001B13E5" w:rsidRDefault="00EA46AA" w14:paraId="5BD7AF00" w14:textId="77777777">
      <w:pPr>
        <w:pStyle w:val="ListParagraph"/>
      </w:pPr>
      <w:r w:rsidRPr="001B13E5">
        <w:t xml:space="preserve">Other predominant antibody deficiency disorders must meet </w:t>
      </w:r>
      <w:r w:rsidRPr="009665D3" w:rsidR="009665D3">
        <w:t>all of the following:</w:t>
      </w:r>
    </w:p>
    <w:p w:rsidRPr="00285A0C" w:rsidR="00E20FA8" w:rsidP="004B1D2C" w:rsidRDefault="00E20FA8" w14:paraId="08E5BE93" w14:textId="77777777">
      <w:pPr>
        <w:pStyle w:val="ListParagraph"/>
        <w:numPr>
          <w:ilvl w:val="1"/>
          <w:numId w:val="74"/>
        </w:numPr>
      </w:pPr>
      <w:r w:rsidRPr="00285A0C">
        <w:t>History of recurrent bacterial infections, and</w:t>
      </w:r>
    </w:p>
    <w:p w:rsidRPr="00285A0C" w:rsidR="00E20FA8" w:rsidP="004B1D2C" w:rsidRDefault="00E20FA8" w14:paraId="70CCCA3E" w14:textId="77777777">
      <w:pPr>
        <w:pStyle w:val="ListParagraph"/>
        <w:numPr>
          <w:ilvl w:val="1"/>
          <w:numId w:val="74"/>
        </w:numPr>
      </w:pPr>
      <w:r w:rsidRPr="00285A0C">
        <w:t>Impaired antibody response to pneumococcal polysaccharide vaccine (see Appendix A), and</w:t>
      </w:r>
    </w:p>
    <w:p w:rsidRPr="00285A0C" w:rsidR="00EA46AA" w:rsidP="004B1D2C" w:rsidRDefault="00E20FA8" w14:paraId="07065A4D" w14:textId="134EF5A6">
      <w:pPr>
        <w:pStyle w:val="ListParagraph"/>
        <w:numPr>
          <w:ilvl w:val="1"/>
          <w:numId w:val="74"/>
        </w:numPr>
      </w:pPr>
      <w:r w:rsidRPr="00285A0C">
        <w:t xml:space="preserve">A pre-treatment laboratory finding of hypogammaglobulinemia: IgG &lt; 500 mg/dL or </w:t>
      </w:r>
      <w:r w:rsidRPr="00285A0C">
        <w:rPr>
          <w:rFonts w:ascii="Arial" w:hAnsi="Arial"/>
        </w:rPr>
        <w:t>≥</w:t>
      </w:r>
      <w:r w:rsidRPr="00285A0C">
        <w:t xml:space="preserve"> 2 SD below the mean for age</w:t>
      </w:r>
    </w:p>
    <w:p w:rsidR="00B95158" w:rsidP="001B13E5" w:rsidRDefault="00EA46AA" w14:paraId="0DB29578" w14:textId="77777777">
      <w:pPr>
        <w:pStyle w:val="ListParagraph"/>
      </w:pPr>
      <w:r w:rsidRPr="001B13E5">
        <w:t xml:space="preserve">Other combined immunodeficiency must meet </w:t>
      </w:r>
      <w:r w:rsidRPr="00D50390" w:rsidR="00D50390">
        <w:t>all of the following:</w:t>
      </w:r>
    </w:p>
    <w:p w:rsidRPr="009C5BA5" w:rsidR="009C5BA5" w:rsidP="004B1D2C" w:rsidRDefault="009C5BA5" w14:paraId="3BBC1650" w14:textId="77777777">
      <w:pPr>
        <w:pStyle w:val="ListParagraph"/>
        <w:numPr>
          <w:ilvl w:val="1"/>
          <w:numId w:val="75"/>
        </w:numPr>
        <w:rPr>
          <w:rFonts w:eastAsia="Calibri"/>
        </w:rPr>
      </w:pPr>
      <w:r w:rsidRPr="009C5BA5">
        <w:rPr>
          <w:rFonts w:eastAsia="Calibri"/>
        </w:rPr>
        <w:t>Diagnosis confirmed by genetic or molecular testing (if applicable), and</w:t>
      </w:r>
    </w:p>
    <w:p w:rsidRPr="009C5BA5" w:rsidR="009C5BA5" w:rsidP="004B1D2C" w:rsidRDefault="009C5BA5" w14:paraId="39B0D5A7" w14:textId="77777777">
      <w:pPr>
        <w:pStyle w:val="ListParagraph"/>
        <w:numPr>
          <w:ilvl w:val="1"/>
          <w:numId w:val="75"/>
        </w:numPr>
        <w:rPr>
          <w:rFonts w:eastAsia="Calibri"/>
        </w:rPr>
      </w:pPr>
      <w:r w:rsidRPr="009C5BA5">
        <w:rPr>
          <w:rFonts w:eastAsia="Calibri"/>
        </w:rPr>
        <w:t>History of recurrent bacterial infections (e.g., pneumonia, otitis media, sinusitis, sepsis, gastrointestinal), and</w:t>
      </w:r>
    </w:p>
    <w:p w:rsidRPr="001B13E5" w:rsidR="00EA46AA" w:rsidP="004B1D2C" w:rsidRDefault="009C5BA5" w14:paraId="19C2E616" w14:textId="46A9057B">
      <w:pPr>
        <w:pStyle w:val="ListParagraph"/>
        <w:numPr>
          <w:ilvl w:val="1"/>
          <w:numId w:val="75"/>
        </w:numPr>
      </w:pPr>
      <w:r w:rsidRPr="00C122F0">
        <w:rPr>
          <w:rFonts w:eastAsia="Calibri"/>
        </w:rPr>
        <w:t>Impaired antibody response to pneumococcal polysaccharide vaccine (see Appendix A)</w:t>
      </w:r>
    </w:p>
    <w:p w:rsidRPr="001B13E5" w:rsidR="00EA46AA" w:rsidP="00A833EF" w:rsidRDefault="00EA46AA" w14:paraId="0815C0D6" w14:textId="6821D883">
      <w:pPr>
        <w:pStyle w:val="BodyText"/>
      </w:pPr>
      <w:r w:rsidRPr="001B13E5">
        <w:t>Re-authorization of 12 months may be granted when the following criteria are met:</w:t>
      </w:r>
    </w:p>
    <w:p w:rsidRPr="001B13E5" w:rsidR="00EA46AA" w:rsidP="001B13E5" w:rsidRDefault="00EA46AA" w14:paraId="45939780" w14:textId="757C19CA">
      <w:pPr>
        <w:pStyle w:val="ListParagraph"/>
        <w:numPr>
          <w:ilvl w:val="0"/>
          <w:numId w:val="39"/>
        </w:numPr>
      </w:pPr>
      <w:r w:rsidRPr="001B13E5">
        <w:t>A reduction in the frequency of bacterial infections has been demonstrated since initiation of IG therapy, AND</w:t>
      </w:r>
    </w:p>
    <w:p w:rsidRPr="001B13E5" w:rsidR="00EA46AA" w:rsidP="001B13E5" w:rsidRDefault="00EA46AA" w14:paraId="4A27E776" w14:textId="34F6526B">
      <w:pPr>
        <w:pStyle w:val="ListParagraph"/>
        <w:numPr>
          <w:ilvl w:val="0"/>
          <w:numId w:val="39"/>
        </w:numPr>
      </w:pPr>
      <w:r w:rsidRPr="001B13E5">
        <w:t>IgG trough levels are monitored at least yearly and maintained at or above the lower range of normal for age (when applicable for indication),</w:t>
      </w:r>
      <w:r w:rsidRPr="004421E7">
        <w:rPr>
          <w:vertAlign w:val="superscript"/>
        </w:rPr>
        <w:t>35</w:t>
      </w:r>
      <w:r w:rsidRPr="001B13E5">
        <w:t xml:space="preserve"> OR</w:t>
      </w:r>
    </w:p>
    <w:p w:rsidRPr="001B13E5" w:rsidR="00EA46AA" w:rsidP="001B13E5" w:rsidRDefault="00EA46AA" w14:paraId="0407072C" w14:textId="68C4AC69">
      <w:pPr>
        <w:pStyle w:val="ListParagraph"/>
        <w:numPr>
          <w:ilvl w:val="0"/>
          <w:numId w:val="39"/>
        </w:numPr>
      </w:pPr>
      <w:r w:rsidRPr="001B13E5">
        <w:t>The prescriber will re-evaluate the dose of IG and consider a dose adjustment (when appropriate).</w:t>
      </w:r>
    </w:p>
    <w:p w:rsidRPr="001B13E5" w:rsidR="00EA46AA" w:rsidP="00EA46AA" w:rsidRDefault="00EA46AA" w14:paraId="1CAADF74" w14:textId="408E8FDD">
      <w:pPr>
        <w:pStyle w:val="Heading3"/>
      </w:pPr>
      <w:r w:rsidRPr="001B13E5">
        <w:t>Myasthenia Gravis</w:t>
      </w:r>
    </w:p>
    <w:p w:rsidRPr="001B13E5" w:rsidR="00EA46AA" w:rsidP="001B13E5" w:rsidRDefault="00EA46AA" w14:paraId="624B2F05" w14:textId="7C72DE35">
      <w:pPr>
        <w:pStyle w:val="BodyText"/>
        <w:numPr>
          <w:ilvl w:val="0"/>
          <w:numId w:val="40"/>
        </w:numPr>
      </w:pPr>
      <w:r w:rsidRPr="001B13E5">
        <w:t>Authorization of 1 month may be granted to members who are prescribed IG for worsening weakness, acute exacerbation, or in preparation for surgery.</w:t>
      </w:r>
    </w:p>
    <w:p w:rsidRPr="001B13E5" w:rsidR="00EA46AA" w:rsidP="001B13E5" w:rsidRDefault="00EA46AA" w14:paraId="7957B066" w14:textId="5DC38A58">
      <w:pPr>
        <w:pStyle w:val="ListParagraph"/>
        <w:numPr>
          <w:ilvl w:val="1"/>
          <w:numId w:val="41"/>
        </w:numPr>
      </w:pPr>
      <w:r w:rsidRPr="001B13E5">
        <w:t>Worsening weakness includes an increase in any of the following symptoms: diplopia, ptosis, blurred vision, difficulty speaking (dysarthria), difficulty swallowing (dysphagia), difficulty chewing, impaired respiratory status, fatigue, and limb weakness. Acute exacerbations include more severe swallowing difficulties and/or respiratory failure</w:t>
      </w:r>
    </w:p>
    <w:p w:rsidRPr="001B13E5" w:rsidR="00EA46AA" w:rsidP="001B13E5" w:rsidRDefault="00EA46AA" w14:paraId="3417343D" w14:textId="77777777">
      <w:pPr>
        <w:pStyle w:val="ListParagraph"/>
        <w:numPr>
          <w:ilvl w:val="1"/>
          <w:numId w:val="41"/>
        </w:numPr>
      </w:pPr>
      <w:r w:rsidRPr="001B13E5">
        <w:t>Pre-operative management (e.g., prior to thymectomy)</w:t>
      </w:r>
    </w:p>
    <w:p w:rsidRPr="001B13E5" w:rsidR="00EA46AA" w:rsidP="001B13E5" w:rsidRDefault="00EA46AA" w14:paraId="07268506" w14:textId="319F2BCF">
      <w:pPr>
        <w:pStyle w:val="BodyText"/>
        <w:numPr>
          <w:ilvl w:val="0"/>
          <w:numId w:val="40"/>
        </w:numPr>
      </w:pPr>
      <w:r w:rsidRPr="001B13E5">
        <w:t>Authorization of 6 months may be granted to members with refractory myasthenia gravis who have tried and failed 2 or more standard therapies (e.g., corticosteroids, azathioprine, cyclosporine, mycophenolate mofetil, rituximab).</w:t>
      </w:r>
    </w:p>
    <w:p w:rsidRPr="001B13E5" w:rsidR="00EA46AA" w:rsidP="00EA46AA" w:rsidRDefault="00EA46AA" w14:paraId="6BC9EC74" w14:textId="71CCF0CD">
      <w:pPr>
        <w:pStyle w:val="Heading3"/>
      </w:pPr>
      <w:r w:rsidRPr="001B13E5">
        <w:t>Chronic Inflammatory Demyelinating Polyneuropathy (CIDP)</w:t>
      </w:r>
    </w:p>
    <w:p w:rsidRPr="001B13E5" w:rsidR="00EA46AA" w:rsidP="001B13E5" w:rsidRDefault="00EA46AA" w14:paraId="3C80FD9A" w14:textId="49183A92">
      <w:pPr>
        <w:pStyle w:val="ListParagraph"/>
        <w:numPr>
          <w:ilvl w:val="0"/>
          <w:numId w:val="43"/>
        </w:numPr>
      </w:pPr>
      <w:r w:rsidRPr="001B13E5">
        <w:t>Initial authorization of 3 months may be granted when the following criteria are met:</w:t>
      </w:r>
    </w:p>
    <w:p w:rsidRPr="001B13E5" w:rsidR="00EA46AA" w:rsidP="001B13E5" w:rsidRDefault="00EA46AA" w14:paraId="3B8DC04E" w14:textId="77777777">
      <w:pPr>
        <w:pStyle w:val="ListParagraph"/>
        <w:numPr>
          <w:ilvl w:val="1"/>
          <w:numId w:val="45"/>
        </w:numPr>
      </w:pPr>
      <w:r w:rsidRPr="001B13E5">
        <w:t>Disease course is progressive or relapsing/remitting for 2 months or longer</w:t>
      </w:r>
    </w:p>
    <w:p w:rsidRPr="001B13E5" w:rsidR="00EA46AA" w:rsidP="001B13E5" w:rsidRDefault="00EA46AA" w14:paraId="4817557D" w14:textId="77777777">
      <w:pPr>
        <w:pStyle w:val="ListParagraph"/>
        <w:numPr>
          <w:ilvl w:val="1"/>
          <w:numId w:val="45"/>
        </w:numPr>
      </w:pPr>
      <w:r w:rsidRPr="001B13E5">
        <w:t>Moderate to severe functional disability</w:t>
      </w:r>
    </w:p>
    <w:p w:rsidRPr="001B13E5" w:rsidR="00EA46AA" w:rsidP="001B13E5" w:rsidRDefault="00EA46AA" w14:paraId="42377E7E" w14:textId="77777777">
      <w:pPr>
        <w:pStyle w:val="ListParagraph"/>
        <w:numPr>
          <w:ilvl w:val="1"/>
          <w:numId w:val="45"/>
        </w:numPr>
      </w:pPr>
      <w:r w:rsidRPr="001B13E5">
        <w:t xml:space="preserve">The diagnosis was confirmed by electrodiagnostic studies </w:t>
      </w:r>
    </w:p>
    <w:p w:rsidRPr="001B13E5" w:rsidR="00EA46AA" w:rsidP="001B13E5" w:rsidRDefault="00EA46AA" w14:paraId="65FC78B2" w14:textId="418BCA08">
      <w:pPr>
        <w:pStyle w:val="ListParagraph"/>
        <w:numPr>
          <w:ilvl w:val="0"/>
          <w:numId w:val="43"/>
        </w:numPr>
        <w:rPr>
          <w:sz w:val="20"/>
          <w:szCs w:val="20"/>
        </w:rPr>
      </w:pPr>
      <w:r w:rsidRPr="001B13E5">
        <w:t>Re-authorization of 6 months may be granted when the following criteria are me</w:t>
      </w:r>
      <w:r w:rsidR="00B67AF6">
        <w:t>t</w:t>
      </w:r>
      <w:r w:rsidRPr="001B13E5">
        <w:t>:</w:t>
      </w:r>
    </w:p>
    <w:p w:rsidRPr="001B13E5" w:rsidR="00EA46AA" w:rsidP="001B13E5" w:rsidRDefault="00EA46AA" w14:paraId="21AF2519" w14:textId="2AD26A53">
      <w:pPr>
        <w:pStyle w:val="ListParagraph"/>
        <w:numPr>
          <w:ilvl w:val="1"/>
          <w:numId w:val="46"/>
        </w:numPr>
      </w:pPr>
      <w:r w:rsidRPr="001B13E5">
        <w:t>Significant improvement in disability and maintenance of improvement since initiation of IG therapy</w:t>
      </w:r>
    </w:p>
    <w:p w:rsidRPr="001B13E5" w:rsidR="00EA46AA" w:rsidP="001B13E5" w:rsidRDefault="00EA46AA" w14:paraId="414C238A" w14:textId="6545CEB0">
      <w:pPr>
        <w:pStyle w:val="ListParagraph"/>
        <w:numPr>
          <w:ilvl w:val="1"/>
          <w:numId w:val="46"/>
        </w:numPr>
      </w:pPr>
      <w:r w:rsidRPr="001B13E5">
        <w:t>IG is being used at the lowest effective dose and frequency</w:t>
      </w:r>
    </w:p>
    <w:p w:rsidRPr="001B13E5" w:rsidR="00EA46AA" w:rsidP="00EA46AA" w:rsidRDefault="00EA46AA" w14:paraId="20FC2DF7" w14:textId="78721F19">
      <w:pPr>
        <w:pStyle w:val="Heading3"/>
      </w:pPr>
      <w:r w:rsidRPr="001B13E5">
        <w:t>Dermatomyositis or Polymyositis</w:t>
      </w:r>
    </w:p>
    <w:p w:rsidRPr="001B13E5" w:rsidR="00EA46AA" w:rsidP="001B13E5" w:rsidRDefault="00EA46AA" w14:paraId="057C257D" w14:textId="42171C4A">
      <w:pPr>
        <w:pStyle w:val="ListParagraph"/>
        <w:numPr>
          <w:ilvl w:val="0"/>
          <w:numId w:val="44"/>
        </w:numPr>
      </w:pPr>
      <w:r w:rsidRPr="001B13E5">
        <w:t>Initial authorization of 3 months may be granted when the following criteria are met:</w:t>
      </w:r>
    </w:p>
    <w:p w:rsidRPr="001B13E5" w:rsidR="00EA46AA" w:rsidP="001B13E5" w:rsidRDefault="00EA46AA" w14:paraId="06B6EE33" w14:textId="77777777">
      <w:pPr>
        <w:pStyle w:val="ListParagraph"/>
        <w:numPr>
          <w:ilvl w:val="1"/>
          <w:numId w:val="47"/>
        </w:numPr>
        <w:rPr>
          <w:bCs/>
          <w:sz w:val="20"/>
          <w:szCs w:val="20"/>
        </w:rPr>
      </w:pPr>
      <w:r w:rsidRPr="001B13E5">
        <w:t>Member has at least 4 of the following</w:t>
      </w:r>
      <w:r w:rsidRPr="001B13E5">
        <w:rPr>
          <w:bCs/>
          <w:sz w:val="20"/>
          <w:szCs w:val="20"/>
        </w:rPr>
        <w:t>:</w:t>
      </w:r>
    </w:p>
    <w:p w:rsidRPr="001B13E5" w:rsidR="00EA46AA" w:rsidP="001B13E5" w:rsidRDefault="00EA46AA" w14:paraId="32DCE070" w14:textId="77777777">
      <w:pPr>
        <w:pStyle w:val="ListParagraph"/>
        <w:numPr>
          <w:ilvl w:val="2"/>
          <w:numId w:val="48"/>
        </w:numPr>
        <w:ind w:left="2160"/>
      </w:pPr>
      <w:r w:rsidRPr="001B13E5">
        <w:t>Proximal muscle weakness (upper or lower extremity and trunk)</w:t>
      </w:r>
    </w:p>
    <w:p w:rsidRPr="001B13E5" w:rsidR="00EA46AA" w:rsidP="001B13E5" w:rsidRDefault="00EA46AA" w14:paraId="5E9AEE38" w14:textId="77777777">
      <w:pPr>
        <w:pStyle w:val="ListParagraph"/>
        <w:numPr>
          <w:ilvl w:val="2"/>
          <w:numId w:val="48"/>
        </w:numPr>
        <w:ind w:left="2160"/>
      </w:pPr>
      <w:r w:rsidRPr="001B13E5">
        <w:t>Elevated serum creatine kinase (CK) or aldolase level</w:t>
      </w:r>
    </w:p>
    <w:p w:rsidRPr="001B13E5" w:rsidR="00EA46AA" w:rsidP="001B13E5" w:rsidRDefault="00EA46AA" w14:paraId="78B1C9C2" w14:textId="77777777">
      <w:pPr>
        <w:pStyle w:val="ListParagraph"/>
        <w:numPr>
          <w:ilvl w:val="2"/>
          <w:numId w:val="48"/>
        </w:numPr>
        <w:ind w:left="2160"/>
      </w:pPr>
      <w:r w:rsidRPr="001B13E5">
        <w:t>Muscle pain on grasping or spontaneous pain</w:t>
      </w:r>
    </w:p>
    <w:p w:rsidRPr="001B13E5" w:rsidR="00EA46AA" w:rsidP="001B13E5" w:rsidRDefault="00EA46AA" w14:paraId="57961B80" w14:textId="77777777">
      <w:pPr>
        <w:pStyle w:val="ListParagraph"/>
        <w:numPr>
          <w:ilvl w:val="2"/>
          <w:numId w:val="48"/>
        </w:numPr>
        <w:ind w:left="2160"/>
      </w:pPr>
      <w:r w:rsidRPr="001B13E5">
        <w:t>Myogenic changes on EMG (short-duration, polyphasic motor unit potentials with spontaneous fibrillation potentials)</w:t>
      </w:r>
    </w:p>
    <w:p w:rsidRPr="001B13E5" w:rsidR="00EA46AA" w:rsidP="001B13E5" w:rsidRDefault="00EA46AA" w14:paraId="34A9D970" w14:textId="77777777">
      <w:pPr>
        <w:pStyle w:val="ListParagraph"/>
        <w:numPr>
          <w:ilvl w:val="2"/>
          <w:numId w:val="48"/>
        </w:numPr>
        <w:ind w:left="2160"/>
      </w:pPr>
      <w:r w:rsidRPr="001B13E5">
        <w:t xml:space="preserve">Positive for anti-synthetase antibodies (e.g., anti-Jo-1, also called </w:t>
      </w:r>
      <w:proofErr w:type="spellStart"/>
      <w:r w:rsidRPr="001B13E5">
        <w:t>histadyl</w:t>
      </w:r>
      <w:proofErr w:type="spellEnd"/>
      <w:r w:rsidRPr="001B13E5">
        <w:t xml:space="preserve"> tRNA synthetase)</w:t>
      </w:r>
    </w:p>
    <w:p w:rsidRPr="001B13E5" w:rsidR="00EA46AA" w:rsidP="001B13E5" w:rsidRDefault="00EA46AA" w14:paraId="730772A7" w14:textId="77777777">
      <w:pPr>
        <w:pStyle w:val="ListParagraph"/>
        <w:numPr>
          <w:ilvl w:val="2"/>
          <w:numId w:val="48"/>
        </w:numPr>
        <w:ind w:left="2160"/>
      </w:pPr>
      <w:r w:rsidRPr="001B13E5">
        <w:t>Non-destructive arthritis or arthralgias</w:t>
      </w:r>
    </w:p>
    <w:p w:rsidRPr="001B13E5" w:rsidR="00EA46AA" w:rsidP="001B13E5" w:rsidRDefault="00EA46AA" w14:paraId="7FC6701E" w14:textId="77777777">
      <w:pPr>
        <w:pStyle w:val="ListParagraph"/>
        <w:numPr>
          <w:ilvl w:val="2"/>
          <w:numId w:val="48"/>
        </w:numPr>
        <w:ind w:left="2160"/>
      </w:pPr>
      <w:r w:rsidRPr="001B13E5">
        <w:t>Systemic inflammatory signs (fever: more than 37°C at axilla, elevated serum CRP level or accelerated ESR of more than 20 mm/h by the Westergren method)</w:t>
      </w:r>
    </w:p>
    <w:p w:rsidRPr="001B13E5" w:rsidR="00EA46AA" w:rsidP="001B13E5" w:rsidRDefault="00EA46AA" w14:paraId="7AC82E0C" w14:textId="0BA5215F">
      <w:pPr>
        <w:pStyle w:val="ListParagraph"/>
        <w:numPr>
          <w:ilvl w:val="2"/>
          <w:numId w:val="48"/>
        </w:numPr>
        <w:ind w:left="2160"/>
      </w:pPr>
      <w:r w:rsidRPr="001B13E5">
        <w:t>Pathological findings compatible with inflammatory myositis (inflammatory infiltration of skeletal evidence of active regeneration may be seen), and</w:t>
      </w:r>
    </w:p>
    <w:p w:rsidRPr="001B13E5" w:rsidR="00EA46AA" w:rsidP="001B13E5" w:rsidRDefault="00EA46AA" w14:paraId="6C9B8C00" w14:textId="77777777">
      <w:pPr>
        <w:pStyle w:val="ListParagraph"/>
        <w:numPr>
          <w:ilvl w:val="1"/>
          <w:numId w:val="47"/>
        </w:numPr>
      </w:pPr>
      <w:r w:rsidRPr="001B13E5">
        <w:t>Standard first-line treatments (corticosteroids) and second-line treatments (immunosuppressants) have been tried but were unsuccessful or not tolerated, or</w:t>
      </w:r>
    </w:p>
    <w:p w:rsidRPr="001B13E5" w:rsidR="00EA46AA" w:rsidP="001B13E5" w:rsidRDefault="00EA46AA" w14:paraId="2656CFC4" w14:textId="58FDEEDC">
      <w:pPr>
        <w:pStyle w:val="ListParagraph"/>
        <w:numPr>
          <w:ilvl w:val="1"/>
          <w:numId w:val="47"/>
        </w:numPr>
      </w:pPr>
      <w:r w:rsidRPr="001B13E5">
        <w:t>Member is unable to receive standard first-line and second-line therapy because of a contraindication or other clinical reason.</w:t>
      </w:r>
    </w:p>
    <w:p w:rsidRPr="001B13E5" w:rsidR="00EA46AA" w:rsidP="001B13E5" w:rsidRDefault="00EA46AA" w14:paraId="6B6D5E1A" w14:textId="77777777">
      <w:pPr>
        <w:pStyle w:val="ListParagraph"/>
        <w:numPr>
          <w:ilvl w:val="0"/>
          <w:numId w:val="44"/>
        </w:numPr>
      </w:pPr>
      <w:r w:rsidRPr="001B13E5">
        <w:t>Re-authorization of 6 months may be granted when the following criterion is met:</w:t>
      </w:r>
    </w:p>
    <w:p w:rsidRPr="001B13E5" w:rsidR="00EA46AA" w:rsidP="001B13E5" w:rsidRDefault="00EA46AA" w14:paraId="2B8E90D9" w14:textId="702307BC">
      <w:pPr>
        <w:pStyle w:val="ListParagraph"/>
        <w:numPr>
          <w:ilvl w:val="1"/>
          <w:numId w:val="49"/>
        </w:numPr>
      </w:pPr>
      <w:r w:rsidRPr="001B13E5">
        <w:t>Significant improvement in disability and maintenance of improvement since initiation of IG therapy</w:t>
      </w:r>
    </w:p>
    <w:p w:rsidRPr="001B13E5" w:rsidR="00EA46AA" w:rsidP="00EA46AA" w:rsidRDefault="00EA46AA" w14:paraId="1757AA1A" w14:textId="306DA137">
      <w:pPr>
        <w:pStyle w:val="Heading3"/>
      </w:pPr>
      <w:r w:rsidRPr="001B13E5">
        <w:t>Idiopathic Thrombocytopenic Purpura ITP/(Immune Thrombocytopenia)</w:t>
      </w:r>
    </w:p>
    <w:p w:rsidRPr="001B13E5" w:rsidR="00EA46AA" w:rsidP="001B13E5" w:rsidRDefault="00EA46AA" w14:paraId="1925760C" w14:textId="028D9BC0">
      <w:pPr>
        <w:pStyle w:val="ListParagraph"/>
        <w:numPr>
          <w:ilvl w:val="0"/>
          <w:numId w:val="50"/>
        </w:numPr>
      </w:pPr>
      <w:r w:rsidRPr="001B13E5">
        <w:t>Newly diagnosed ITP (diagnosed within the past 3 months) or initial therapy: authorization of 1 month may be granted when the following criteria are met:</w:t>
      </w:r>
    </w:p>
    <w:p w:rsidRPr="001B13E5" w:rsidR="00EA46AA" w:rsidP="001B13E5" w:rsidRDefault="00EA46AA" w14:paraId="4D2E7297" w14:textId="77777777">
      <w:pPr>
        <w:pStyle w:val="ListParagraph"/>
        <w:numPr>
          <w:ilvl w:val="1"/>
          <w:numId w:val="50"/>
        </w:numPr>
      </w:pPr>
      <w:r w:rsidRPr="001B13E5">
        <w:t>Children (&lt; 18 years of age)</w:t>
      </w:r>
    </w:p>
    <w:p w:rsidRPr="001B13E5" w:rsidR="00EA46AA" w:rsidP="001B13E5" w:rsidRDefault="00EA46AA" w14:paraId="09EEE898" w14:textId="11F41F5B">
      <w:pPr>
        <w:pStyle w:val="ListParagraph"/>
        <w:numPr>
          <w:ilvl w:val="2"/>
          <w:numId w:val="51"/>
        </w:numPr>
      </w:pPr>
      <w:r w:rsidRPr="001B13E5">
        <w:t>Significant bleeding symptoms (mucosal bleeding or other moderate/severe bleeding) or</w:t>
      </w:r>
    </w:p>
    <w:p w:rsidRPr="001B13E5" w:rsidR="00EA46AA" w:rsidP="001B13E5" w:rsidRDefault="00EA46AA" w14:paraId="2D5DCB9D" w14:textId="5D6396B0">
      <w:pPr>
        <w:pStyle w:val="ListParagraph"/>
        <w:numPr>
          <w:ilvl w:val="2"/>
          <w:numId w:val="51"/>
        </w:numPr>
      </w:pPr>
      <w:r w:rsidRPr="001B13E5">
        <w:t>High risk for bleeding (see Appendix B), or</w:t>
      </w:r>
    </w:p>
    <w:p w:rsidRPr="001B13E5" w:rsidR="00EA46AA" w:rsidP="001B13E5" w:rsidRDefault="00EA46AA" w14:paraId="025908F3" w14:textId="5098B35B">
      <w:pPr>
        <w:pStyle w:val="ListParagraph"/>
        <w:numPr>
          <w:ilvl w:val="2"/>
          <w:numId w:val="51"/>
        </w:numPr>
      </w:pPr>
      <w:r w:rsidRPr="001B13E5">
        <w:t>Rapid increase in platelets is required (e.g., surgery or procedure)</w:t>
      </w:r>
    </w:p>
    <w:p w:rsidRPr="001B13E5" w:rsidR="00EA46AA" w:rsidP="001B13E5" w:rsidRDefault="00EA46AA" w14:paraId="2CB90D9F" w14:textId="0D258699">
      <w:pPr>
        <w:pStyle w:val="ListParagraph"/>
        <w:numPr>
          <w:ilvl w:val="1"/>
          <w:numId w:val="50"/>
        </w:numPr>
      </w:pPr>
      <w:r w:rsidRPr="001B13E5">
        <w:t>Adults (</w:t>
      </w:r>
      <w:r w:rsidRPr="001B13E5">
        <w:rPr>
          <w:rFonts w:ascii="Cambria Math" w:hAnsi="Cambria Math" w:cs="Cambria Math"/>
        </w:rPr>
        <w:t>≥</w:t>
      </w:r>
      <w:r w:rsidRPr="001B13E5">
        <w:t xml:space="preserve"> 18 years of age)</w:t>
      </w:r>
    </w:p>
    <w:p w:rsidRPr="001B13E5" w:rsidR="00EA46AA" w:rsidP="001B13E5" w:rsidRDefault="00EA46AA" w14:paraId="524C6135" w14:textId="73A95B91">
      <w:pPr>
        <w:pStyle w:val="ListParagraph"/>
        <w:numPr>
          <w:ilvl w:val="2"/>
          <w:numId w:val="54"/>
        </w:numPr>
      </w:pPr>
      <w:r w:rsidRPr="001B13E5">
        <w:t>Platelet count &lt; 30,000/</w:t>
      </w:r>
      <w:proofErr w:type="spellStart"/>
      <w:r w:rsidRPr="001B13E5">
        <w:t>mcL</w:t>
      </w:r>
      <w:proofErr w:type="spellEnd"/>
      <w:r w:rsidRPr="001B13E5">
        <w:t>, or</w:t>
      </w:r>
    </w:p>
    <w:p w:rsidRPr="001B13E5" w:rsidR="00EA46AA" w:rsidP="001B13E5" w:rsidRDefault="00EA46AA" w14:paraId="573A13EE" w14:textId="432ACE86">
      <w:pPr>
        <w:pStyle w:val="ListParagraph"/>
        <w:numPr>
          <w:ilvl w:val="2"/>
          <w:numId w:val="54"/>
        </w:numPr>
      </w:pPr>
      <w:r w:rsidRPr="001B13E5">
        <w:t>Platelet count &lt; 50,000/</w:t>
      </w:r>
      <w:proofErr w:type="spellStart"/>
      <w:r w:rsidRPr="001B13E5">
        <w:t>mcL</w:t>
      </w:r>
      <w:proofErr w:type="spellEnd"/>
      <w:r w:rsidRPr="001B13E5">
        <w:t xml:space="preserve"> and significant bleeding symptoms, high risk for bleeding or rapid increase in platelets is required, and</w:t>
      </w:r>
    </w:p>
    <w:p w:rsidRPr="001B13E5" w:rsidR="00EA46AA" w:rsidP="001B13E5" w:rsidRDefault="00EA46AA" w14:paraId="6A1B7DF4" w14:textId="5C41C677">
      <w:pPr>
        <w:pStyle w:val="ListParagraph"/>
        <w:numPr>
          <w:ilvl w:val="2"/>
          <w:numId w:val="54"/>
        </w:numPr>
      </w:pPr>
      <w:r w:rsidRPr="001B13E5">
        <w:t>Corticosteroid therapy is contraindicated and IG will be used alone or IG will be used in combination with corticosteroid therapy</w:t>
      </w:r>
    </w:p>
    <w:p w:rsidRPr="001B13E5" w:rsidR="00EA46AA" w:rsidP="001B13E5" w:rsidRDefault="00EA46AA" w14:paraId="3BBBFA71" w14:textId="45285F60">
      <w:pPr>
        <w:pStyle w:val="ListParagraph"/>
        <w:numPr>
          <w:ilvl w:val="0"/>
          <w:numId w:val="50"/>
        </w:numPr>
      </w:pPr>
      <w:r w:rsidRPr="001B13E5">
        <w:t>Chronic/persistent ITP (</w:t>
      </w:r>
      <w:r w:rsidRPr="001B13E5">
        <w:rPr>
          <w:rFonts w:ascii="Cambria Math" w:hAnsi="Cambria Math" w:cs="Cambria Math"/>
        </w:rPr>
        <w:t>≥</w:t>
      </w:r>
      <w:r w:rsidRPr="001B13E5">
        <w:t xml:space="preserve"> 3 months from diagnosis) or ITP unresponsive to first-line therapy: authorization of 6 months may be granted when the following criteria are met:</w:t>
      </w:r>
    </w:p>
    <w:p w:rsidRPr="001B13E5" w:rsidR="00EA46AA" w:rsidP="001B13E5" w:rsidRDefault="00EA46AA" w14:paraId="3583A41B" w14:textId="3EEFCB75">
      <w:pPr>
        <w:pStyle w:val="ListParagraph"/>
        <w:numPr>
          <w:ilvl w:val="1"/>
          <w:numId w:val="52"/>
        </w:numPr>
      </w:pPr>
      <w:r w:rsidRPr="001B13E5">
        <w:t>Platelet count &lt; 30,000/</w:t>
      </w:r>
      <w:proofErr w:type="spellStart"/>
      <w:r w:rsidRPr="001B13E5">
        <w:t>mcL</w:t>
      </w:r>
      <w:proofErr w:type="spellEnd"/>
      <w:r w:rsidRPr="001B13E5">
        <w:t>, or</w:t>
      </w:r>
    </w:p>
    <w:p w:rsidRPr="001B13E5" w:rsidR="00EA46AA" w:rsidP="001B13E5" w:rsidRDefault="00EA46AA" w14:paraId="163B7E99" w14:textId="105D1F79">
      <w:pPr>
        <w:pStyle w:val="ListParagraph"/>
        <w:numPr>
          <w:ilvl w:val="1"/>
          <w:numId w:val="52"/>
        </w:numPr>
      </w:pPr>
      <w:r w:rsidRPr="001B13E5">
        <w:t>Platelet count &lt; 50,000/</w:t>
      </w:r>
      <w:proofErr w:type="spellStart"/>
      <w:r w:rsidRPr="001B13E5">
        <w:t>mcL</w:t>
      </w:r>
      <w:proofErr w:type="spellEnd"/>
      <w:r w:rsidRPr="001B13E5">
        <w:t xml:space="preserve"> and significant bleeding symptoms, high risk for bleeding or rapid increase in platelets is required, and</w:t>
      </w:r>
    </w:p>
    <w:p w:rsidRPr="001B13E5" w:rsidR="00EA46AA" w:rsidP="001B13E5" w:rsidRDefault="00EA46AA" w14:paraId="03745E72" w14:textId="5F8D21DF">
      <w:pPr>
        <w:pStyle w:val="ListParagraph"/>
        <w:numPr>
          <w:ilvl w:val="1"/>
          <w:numId w:val="52"/>
        </w:numPr>
      </w:pPr>
      <w:r w:rsidRPr="001B13E5">
        <w:t>Relapse after previous response to IG or inadequate response/intolerance/contraindication to corticosteroid or anti-D therapy</w:t>
      </w:r>
    </w:p>
    <w:p w:rsidRPr="001B13E5" w:rsidR="00EA46AA" w:rsidP="001B13E5" w:rsidRDefault="00EA46AA" w14:paraId="2257EAFF" w14:textId="541E8ADF">
      <w:pPr>
        <w:pStyle w:val="ListParagraph"/>
        <w:numPr>
          <w:ilvl w:val="0"/>
          <w:numId w:val="50"/>
        </w:numPr>
      </w:pPr>
      <w:r w:rsidRPr="001B13E5">
        <w:t>Adults with refractory ITP after splenectomy: authorization of 6 months may be granted when either of the following criteria is met:</w:t>
      </w:r>
    </w:p>
    <w:p w:rsidRPr="001B13E5" w:rsidR="00EA46AA" w:rsidP="001B13E5" w:rsidRDefault="00EA46AA" w14:paraId="21DEF93A" w14:textId="331FCD40">
      <w:pPr>
        <w:pStyle w:val="ListParagraph"/>
        <w:numPr>
          <w:ilvl w:val="1"/>
          <w:numId w:val="53"/>
        </w:numPr>
      </w:pPr>
      <w:r w:rsidRPr="001B13E5">
        <w:t>Platelet count &lt; 30,000/</w:t>
      </w:r>
      <w:proofErr w:type="spellStart"/>
      <w:r w:rsidRPr="001B13E5">
        <w:t>mcL</w:t>
      </w:r>
      <w:proofErr w:type="spellEnd"/>
      <w:r w:rsidRPr="001B13E5">
        <w:t>, or</w:t>
      </w:r>
    </w:p>
    <w:p w:rsidRPr="001B13E5" w:rsidR="00EA46AA" w:rsidP="001B13E5" w:rsidRDefault="00EA46AA" w14:paraId="020BEF94" w14:textId="44595BB3">
      <w:pPr>
        <w:pStyle w:val="ListParagraph"/>
        <w:numPr>
          <w:ilvl w:val="1"/>
          <w:numId w:val="53"/>
        </w:numPr>
      </w:pPr>
      <w:r w:rsidRPr="001B13E5">
        <w:t>Significant bleeding symptoms</w:t>
      </w:r>
    </w:p>
    <w:p w:rsidRPr="001B13E5" w:rsidR="00EA46AA" w:rsidP="001B13E5" w:rsidRDefault="00EA46AA" w14:paraId="611053A7" w14:textId="44F68EAC">
      <w:pPr>
        <w:pStyle w:val="ListParagraph"/>
        <w:numPr>
          <w:ilvl w:val="0"/>
          <w:numId w:val="50"/>
        </w:numPr>
      </w:pPr>
      <w:r w:rsidRPr="001B13E5">
        <w:t>ITP in pregnant women: authorization through delivery may be granted to pregnant women with ITP.</w:t>
      </w:r>
    </w:p>
    <w:p w:rsidRPr="001B13E5" w:rsidR="00EA46AA" w:rsidP="00714E02" w:rsidRDefault="00EA46AA" w14:paraId="4A660DF3" w14:textId="6611E751">
      <w:pPr>
        <w:pStyle w:val="BodyText"/>
      </w:pPr>
      <w:r w:rsidRPr="001B13E5">
        <w:t>The member’s risk factor(s) for bleeding (see Appendix B) or reason requiring a rapid increase in platelets must be provided.</w:t>
      </w:r>
    </w:p>
    <w:p w:rsidRPr="001B13E5" w:rsidR="00EA46AA" w:rsidP="00EA46AA" w:rsidRDefault="00EA46AA" w14:paraId="4320FE8B" w14:textId="13C5C016">
      <w:pPr>
        <w:pStyle w:val="Heading3"/>
      </w:pPr>
      <w:r w:rsidRPr="001B13E5">
        <w:t>B-cell Chronic Lymphocytic Leukemia (CLL)</w:t>
      </w:r>
    </w:p>
    <w:p w:rsidRPr="001B13E5" w:rsidR="00EA46AA" w:rsidP="001B13E5" w:rsidRDefault="00EA46AA" w14:paraId="63D1E293" w14:textId="5DB405FA">
      <w:pPr>
        <w:pStyle w:val="ListParagraph"/>
        <w:numPr>
          <w:ilvl w:val="0"/>
          <w:numId w:val="55"/>
        </w:numPr>
      </w:pPr>
      <w:r w:rsidRPr="001B13E5">
        <w:t>Initial authorization of 6 months may be granted when all of the following criteria are met:</w:t>
      </w:r>
    </w:p>
    <w:p w:rsidRPr="001B13E5" w:rsidR="00EA46AA" w:rsidP="001B13E5" w:rsidRDefault="00EA46AA" w14:paraId="05EE1791" w14:textId="77777777">
      <w:pPr>
        <w:pStyle w:val="ListParagraph"/>
        <w:numPr>
          <w:ilvl w:val="1"/>
          <w:numId w:val="56"/>
        </w:numPr>
      </w:pPr>
      <w:r w:rsidRPr="001B13E5">
        <w:t>IG is prescribed for prophylaxis of bacterial infections.</w:t>
      </w:r>
    </w:p>
    <w:p w:rsidRPr="001B13E5" w:rsidR="00EA46AA" w:rsidP="001B13E5" w:rsidRDefault="00EA46AA" w14:paraId="1A0ADA50" w14:textId="77777777">
      <w:pPr>
        <w:pStyle w:val="ListParagraph"/>
        <w:numPr>
          <w:ilvl w:val="1"/>
          <w:numId w:val="56"/>
        </w:numPr>
      </w:pPr>
      <w:r w:rsidRPr="001B13E5">
        <w:t>Member has a history of recurrent sinopulmonary infections requiring intravenous antibiotics or hospitalization.</w:t>
      </w:r>
    </w:p>
    <w:p w:rsidRPr="001B13E5" w:rsidR="00EA46AA" w:rsidP="001B13E5" w:rsidRDefault="00EA46AA" w14:paraId="2D65F13A" w14:textId="5E562E8C">
      <w:pPr>
        <w:pStyle w:val="ListParagraph"/>
        <w:numPr>
          <w:ilvl w:val="1"/>
          <w:numId w:val="56"/>
        </w:numPr>
      </w:pPr>
      <w:r w:rsidRPr="001B13E5">
        <w:t>Member has a pretreatment serum IgG level &lt;500 mg/dL.</w:t>
      </w:r>
    </w:p>
    <w:p w:rsidRPr="001B13E5" w:rsidR="00EA46AA" w:rsidP="001B13E5" w:rsidRDefault="00EA46AA" w14:paraId="57F25FCB" w14:textId="2B448BD3">
      <w:pPr>
        <w:pStyle w:val="ListParagraph"/>
        <w:numPr>
          <w:ilvl w:val="0"/>
          <w:numId w:val="55"/>
        </w:numPr>
      </w:pPr>
      <w:r w:rsidRPr="001B13E5">
        <w:t>Re-authorization of 6 months may be granted when a reduction in the frequency of bacterial infections has been demonstrated since initiation of IG therapy.</w:t>
      </w:r>
    </w:p>
    <w:p w:rsidRPr="001B13E5" w:rsidR="00EA46AA" w:rsidP="00EA46AA" w:rsidRDefault="00EA46AA" w14:paraId="0851E00B" w14:textId="79C2B046">
      <w:pPr>
        <w:pStyle w:val="Heading3"/>
      </w:pPr>
      <w:r w:rsidRPr="001B13E5">
        <w:t>Prophylaxis of Bacterial Infections in HIV-Infected Pediatric Patients</w:t>
      </w:r>
    </w:p>
    <w:p w:rsidRPr="001B13E5" w:rsidR="00EA46AA" w:rsidP="001B13E5" w:rsidRDefault="00EA46AA" w14:paraId="480CABAF" w14:textId="59B8CEC7">
      <w:pPr>
        <w:pStyle w:val="ListParagraph"/>
        <w:numPr>
          <w:ilvl w:val="0"/>
          <w:numId w:val="42"/>
        </w:numPr>
      </w:pPr>
      <w:r w:rsidRPr="001B13E5">
        <w:t>Initial authorization of up to 6 months may be granted to pediatric members with HIV infection when any of the following criteria are met:</w:t>
      </w:r>
    </w:p>
    <w:p w:rsidRPr="001B13E5" w:rsidR="00EA46AA" w:rsidP="001B13E5" w:rsidRDefault="00EA46AA" w14:paraId="2923406D" w14:textId="21E17C24">
      <w:pPr>
        <w:pStyle w:val="ListParagraph"/>
        <w:numPr>
          <w:ilvl w:val="1"/>
          <w:numId w:val="57"/>
        </w:numPr>
      </w:pPr>
      <w:r w:rsidRPr="001B13E5">
        <w:t>IG is prescribed for primary prophylaxis of bacterial infections and pretreatment serum IgG &lt; 400 mg/dL, or</w:t>
      </w:r>
    </w:p>
    <w:p w:rsidRPr="001B13E5" w:rsidR="00EA46AA" w:rsidP="001B13E5" w:rsidRDefault="00EA46AA" w14:paraId="486B65FF" w14:textId="77777777">
      <w:pPr>
        <w:pStyle w:val="ListParagraph"/>
        <w:numPr>
          <w:ilvl w:val="1"/>
          <w:numId w:val="57"/>
        </w:numPr>
      </w:pPr>
      <w:r w:rsidRPr="001B13E5">
        <w:t>IG is prescribed for secondary prophylaxis of bacterial infections for members with a history of recurrent bacterial infections (&gt; 2 serious bacterial infections in a 1-year period), or</w:t>
      </w:r>
    </w:p>
    <w:p w:rsidRPr="001B13E5" w:rsidR="00EA46AA" w:rsidP="001B13E5" w:rsidRDefault="00EA46AA" w14:paraId="5B34BDA7" w14:textId="77777777">
      <w:pPr>
        <w:pStyle w:val="ListParagraph"/>
        <w:numPr>
          <w:ilvl w:val="1"/>
          <w:numId w:val="57"/>
        </w:numPr>
      </w:pPr>
      <w:r w:rsidRPr="001B13E5">
        <w:t xml:space="preserve">Member has failed to form antibodies to common antigens, such as measles, pneumococcal, and/or </w:t>
      </w:r>
      <w:proofErr w:type="spellStart"/>
      <w:r w:rsidRPr="001B13E5">
        <w:t>Haemophilus</w:t>
      </w:r>
      <w:proofErr w:type="spellEnd"/>
      <w:r w:rsidRPr="001B13E5">
        <w:t xml:space="preserve"> influenzae type b vaccine, or</w:t>
      </w:r>
    </w:p>
    <w:p w:rsidRPr="001B13E5" w:rsidR="00EA46AA" w:rsidP="001B13E5" w:rsidRDefault="00EA46AA" w14:paraId="115C9D97" w14:textId="77777777">
      <w:pPr>
        <w:pStyle w:val="ListParagraph"/>
        <w:numPr>
          <w:ilvl w:val="1"/>
          <w:numId w:val="57"/>
        </w:numPr>
      </w:pPr>
      <w:r w:rsidRPr="001B13E5">
        <w:t>Member lives in an area where measles is highly prevalent and who have not developed an antibody response after two doses of measles, mumps, and rubella virus vaccine live, or</w:t>
      </w:r>
    </w:p>
    <w:p w:rsidRPr="001B13E5" w:rsidR="00EA46AA" w:rsidP="001B13E5" w:rsidRDefault="00EA46AA" w14:paraId="29166F3E" w14:textId="77777777">
      <w:pPr>
        <w:pStyle w:val="ListParagraph"/>
        <w:numPr>
          <w:ilvl w:val="1"/>
          <w:numId w:val="57"/>
        </w:numPr>
      </w:pPr>
      <w:r w:rsidRPr="001B13E5">
        <w:t>Member has been exposed to measles and request is for a single dose, or</w:t>
      </w:r>
    </w:p>
    <w:p w:rsidRPr="001B13E5" w:rsidR="00EA46AA" w:rsidP="001B13E5" w:rsidRDefault="00EA46AA" w14:paraId="5CB658A4" w14:textId="77777777">
      <w:pPr>
        <w:pStyle w:val="ListParagraph"/>
        <w:numPr>
          <w:ilvl w:val="1"/>
          <w:numId w:val="57"/>
        </w:numPr>
      </w:pPr>
      <w:r w:rsidRPr="001B13E5">
        <w:t xml:space="preserve">Member has chronic bronchiectasis that is </w:t>
      </w:r>
      <w:proofErr w:type="spellStart"/>
      <w:r w:rsidRPr="001B13E5">
        <w:t>suboptimally</w:t>
      </w:r>
      <w:proofErr w:type="spellEnd"/>
      <w:r w:rsidRPr="001B13E5">
        <w:t xml:space="preserve"> responsive to antimicrobial and pulmonary therapy</w:t>
      </w:r>
    </w:p>
    <w:p w:rsidRPr="001B13E5" w:rsidR="00EA46AA" w:rsidP="001B13E5" w:rsidRDefault="00EA46AA" w14:paraId="19D556B9" w14:textId="62642E5E">
      <w:pPr>
        <w:pStyle w:val="ListParagraph"/>
        <w:numPr>
          <w:ilvl w:val="0"/>
          <w:numId w:val="42"/>
        </w:numPr>
      </w:pPr>
      <w:r w:rsidRPr="001B13E5">
        <w:t>Re-authorization of 6 months may be granted when a reduction in the frequency of bacterial infections has been demonstrated since initiation of IG therapy.</w:t>
      </w:r>
    </w:p>
    <w:p w:rsidRPr="001B13E5" w:rsidR="00EA46AA" w:rsidP="00EA46AA" w:rsidRDefault="00EA46AA" w14:paraId="286CC549" w14:textId="4660728B">
      <w:pPr>
        <w:pStyle w:val="Heading3"/>
      </w:pPr>
      <w:r w:rsidRPr="001B13E5">
        <w:t>Bone Marrow Transplant/Hemopoietic Stem Cell Transplant (BMT/HSCT)</w:t>
      </w:r>
    </w:p>
    <w:p w:rsidRPr="001B13E5" w:rsidR="00EA46AA" w:rsidP="001B13E5" w:rsidRDefault="00EA46AA" w14:paraId="6FD93F55" w14:textId="3853BC51">
      <w:pPr>
        <w:pStyle w:val="ListParagraph"/>
        <w:numPr>
          <w:ilvl w:val="0"/>
          <w:numId w:val="58"/>
        </w:numPr>
      </w:pPr>
      <w:r w:rsidRPr="001B13E5">
        <w:t>Initial authorization of 6 months may be granted to members who are BMT/HSCT recipients when the following criteria are met:</w:t>
      </w:r>
    </w:p>
    <w:p w:rsidRPr="001B13E5" w:rsidR="00EA46AA" w:rsidP="001B13E5" w:rsidRDefault="00EA46AA" w14:paraId="7C5F9A75" w14:textId="77777777">
      <w:pPr>
        <w:pStyle w:val="ListParagraph"/>
        <w:numPr>
          <w:ilvl w:val="1"/>
          <w:numId w:val="58"/>
        </w:numPr>
      </w:pPr>
      <w:bookmarkStart w:name="_Hlk106712826" w:id="0"/>
      <w:r w:rsidRPr="001B13E5">
        <w:t>Therapy will be used to prevent the risk of acute graft-versus-host disease, associated interstitial pneumonia (infectious or idiopathic), septicemia, and other infections (e.g., cytomegalovirus infections [CMV], recurrent bacterial infection)</w:t>
      </w:r>
      <w:bookmarkEnd w:id="0"/>
      <w:r w:rsidRPr="001B13E5">
        <w:t>.</w:t>
      </w:r>
    </w:p>
    <w:p w:rsidRPr="001B13E5" w:rsidR="00EA46AA" w:rsidP="001B13E5" w:rsidRDefault="00EA46AA" w14:paraId="7AB580FF" w14:textId="7F6C460A">
      <w:pPr>
        <w:pStyle w:val="ListParagraph"/>
        <w:numPr>
          <w:ilvl w:val="1"/>
          <w:numId w:val="58"/>
        </w:numPr>
      </w:pPr>
      <w:r w:rsidRPr="001B13E5">
        <w:t>Either of the following:</w:t>
      </w:r>
    </w:p>
    <w:p w:rsidRPr="001B13E5" w:rsidR="00EA46AA" w:rsidP="001B13E5" w:rsidRDefault="00EA46AA" w14:paraId="2022B8A4" w14:textId="77777777">
      <w:pPr>
        <w:pStyle w:val="ListParagraph"/>
        <w:numPr>
          <w:ilvl w:val="2"/>
          <w:numId w:val="58"/>
        </w:numPr>
      </w:pPr>
      <w:r w:rsidRPr="001B13E5">
        <w:t>IG is requested within the first 100 days post-transplant.</w:t>
      </w:r>
    </w:p>
    <w:p w:rsidRPr="001B13E5" w:rsidR="00EA46AA" w:rsidP="001B13E5" w:rsidRDefault="00EA46AA" w14:paraId="6F1224BF" w14:textId="77C7ECEF">
      <w:pPr>
        <w:pStyle w:val="ListParagraph"/>
        <w:numPr>
          <w:ilvl w:val="2"/>
          <w:numId w:val="58"/>
        </w:numPr>
      </w:pPr>
      <w:r w:rsidRPr="001B13E5">
        <w:t>Member has a pretreatment serum IgG &lt; 400 mg/dL.</w:t>
      </w:r>
    </w:p>
    <w:p w:rsidRPr="001B13E5" w:rsidR="00EA46AA" w:rsidP="001B13E5" w:rsidRDefault="00EA46AA" w14:paraId="1A55B4B5" w14:textId="4BD97E0A">
      <w:pPr>
        <w:pStyle w:val="ListParagraph"/>
        <w:numPr>
          <w:ilvl w:val="0"/>
          <w:numId w:val="58"/>
        </w:numPr>
      </w:pPr>
      <w:r w:rsidRPr="001B13E5">
        <w:t>Re-authorization of 6 months may be granted when a reduction in the frequency of bacterial infections has been demonstrated since initiation of IG therapy.</w:t>
      </w:r>
    </w:p>
    <w:p w:rsidRPr="001B13E5" w:rsidR="00EA46AA" w:rsidP="00EA46AA" w:rsidRDefault="00EA46AA" w14:paraId="65025606" w14:textId="4E8835BC">
      <w:pPr>
        <w:pStyle w:val="Heading3"/>
      </w:pPr>
      <w:r w:rsidRPr="001B13E5">
        <w:t>Multifocal Motor Neuropathy (MMN)</w:t>
      </w:r>
    </w:p>
    <w:p w:rsidRPr="001B13E5" w:rsidR="00EA46AA" w:rsidP="001B13E5" w:rsidRDefault="00EA46AA" w14:paraId="25AB0EF4" w14:textId="77777777">
      <w:pPr>
        <w:pStyle w:val="ListParagraph"/>
        <w:numPr>
          <w:ilvl w:val="0"/>
          <w:numId w:val="59"/>
        </w:numPr>
      </w:pPr>
      <w:r w:rsidRPr="001B13E5">
        <w:t>Initial authorization of 3 months may be granted when the following criteria are met:</w:t>
      </w:r>
    </w:p>
    <w:p w:rsidRPr="001B13E5" w:rsidR="00EA46AA" w:rsidP="001B13E5" w:rsidRDefault="00EA46AA" w14:paraId="2E697A43" w14:textId="77777777">
      <w:pPr>
        <w:pStyle w:val="ListParagraph"/>
        <w:numPr>
          <w:ilvl w:val="1"/>
          <w:numId w:val="59"/>
        </w:numPr>
      </w:pPr>
      <w:r w:rsidRPr="001B13E5">
        <w:t>Member experienced progressive, multifocal, asymmetrical weakness without objective sensory loss in 2 or more nerves for at least 1 month</w:t>
      </w:r>
    </w:p>
    <w:p w:rsidRPr="001B13E5" w:rsidR="00EA46AA" w:rsidP="001B13E5" w:rsidRDefault="00EA46AA" w14:paraId="1F842B17" w14:textId="34FB981C">
      <w:pPr>
        <w:pStyle w:val="ListParagraph"/>
        <w:numPr>
          <w:ilvl w:val="1"/>
          <w:numId w:val="59"/>
        </w:numPr>
      </w:pPr>
      <w:r w:rsidRPr="001B13E5">
        <w:t>The diagnosis was confirmed by electrodiagnostic studies</w:t>
      </w:r>
    </w:p>
    <w:p w:rsidRPr="001B13E5" w:rsidR="00EA46AA" w:rsidP="001B13E5" w:rsidRDefault="00EA46AA" w14:paraId="423FD52C" w14:textId="4DA41189">
      <w:pPr>
        <w:pStyle w:val="ListParagraph"/>
        <w:numPr>
          <w:ilvl w:val="0"/>
          <w:numId w:val="59"/>
        </w:numPr>
      </w:pPr>
      <w:r w:rsidRPr="001B13E5">
        <w:t xml:space="preserve">Re-authorization of 6 months may be granted when significant improvement in disability and maintenance of improvement have occurred since initiation of IG therapy </w:t>
      </w:r>
    </w:p>
    <w:p w:rsidRPr="001B13E5" w:rsidR="00EA46AA" w:rsidP="00EA46AA" w:rsidRDefault="00EA46AA" w14:paraId="25E1DC7E" w14:textId="597BD702">
      <w:pPr>
        <w:pStyle w:val="Heading3"/>
      </w:pPr>
      <w:r w:rsidRPr="001B13E5">
        <w:t>Guillain-Barre Syndrome (GBS)</w:t>
      </w:r>
    </w:p>
    <w:p w:rsidRPr="001B13E5" w:rsidR="00EA46AA" w:rsidP="0035272B" w:rsidRDefault="00EA46AA" w14:paraId="64D489A4" w14:textId="77777777">
      <w:pPr>
        <w:pStyle w:val="BodyText"/>
      </w:pPr>
      <w:r w:rsidRPr="001B13E5">
        <w:t>Authorization of 1 month total may be granted for GBS when the following criteria are met:</w:t>
      </w:r>
    </w:p>
    <w:p w:rsidRPr="001B13E5" w:rsidR="00EA46AA" w:rsidP="001B13E5" w:rsidRDefault="00EA46AA" w14:paraId="48B13770" w14:textId="77777777">
      <w:pPr>
        <w:pStyle w:val="ListParagraph"/>
        <w:numPr>
          <w:ilvl w:val="0"/>
          <w:numId w:val="60"/>
        </w:numPr>
      </w:pPr>
      <w:r w:rsidRPr="001B13E5">
        <w:t>Member has severe disease with significant weakness (e.g., inability to stand or walk without aid, respiratory weakness)</w:t>
      </w:r>
    </w:p>
    <w:p w:rsidRPr="001B13E5" w:rsidR="00EA46AA" w:rsidP="001B13E5" w:rsidRDefault="00EA46AA" w14:paraId="4C70D88F" w14:textId="14FAC09B">
      <w:pPr>
        <w:pStyle w:val="ListParagraph"/>
        <w:numPr>
          <w:ilvl w:val="0"/>
          <w:numId w:val="60"/>
        </w:numPr>
      </w:pPr>
      <w:r w:rsidRPr="001B13E5">
        <w:t>Onset of neurologic symptoms occurred less than 4 weeks from the anticipated start of therapy</w:t>
      </w:r>
    </w:p>
    <w:p w:rsidRPr="001B13E5" w:rsidR="00EA46AA" w:rsidP="00EA46AA" w:rsidRDefault="00EA46AA" w14:paraId="2030CD47" w14:textId="739EACA5">
      <w:pPr>
        <w:pStyle w:val="Heading3"/>
      </w:pPr>
      <w:r w:rsidRPr="001B13E5">
        <w:t>Lambert-Eaton Myasthenic Syndrome (LEMS)</w:t>
      </w:r>
    </w:p>
    <w:p w:rsidRPr="001B13E5" w:rsidR="00EA46AA" w:rsidP="001B13E5" w:rsidRDefault="00EA46AA" w14:paraId="0B3FE2C8" w14:textId="77777777">
      <w:pPr>
        <w:pStyle w:val="ListParagraph"/>
        <w:numPr>
          <w:ilvl w:val="0"/>
          <w:numId w:val="61"/>
        </w:numPr>
      </w:pPr>
      <w:r w:rsidRPr="001B13E5">
        <w:t>Initial authorization of 6 months may be granted for LEMS when the following criteria are met:</w:t>
      </w:r>
    </w:p>
    <w:p w:rsidRPr="001B13E5" w:rsidR="00EA46AA" w:rsidP="001B13E5" w:rsidRDefault="00EA46AA" w14:paraId="2CEBB8CC" w14:textId="3307363A">
      <w:pPr>
        <w:pStyle w:val="ListParagraph"/>
        <w:numPr>
          <w:ilvl w:val="1"/>
          <w:numId w:val="61"/>
        </w:numPr>
      </w:pPr>
      <w:r w:rsidRPr="001B13E5">
        <w:t>Diagnosis has been confirmed by either of the following:</w:t>
      </w:r>
    </w:p>
    <w:p w:rsidRPr="001B13E5" w:rsidR="00EA46AA" w:rsidP="001B13E5" w:rsidRDefault="00EA46AA" w14:paraId="6A1D2F0B" w14:textId="77777777">
      <w:pPr>
        <w:pStyle w:val="ListParagraph"/>
        <w:numPr>
          <w:ilvl w:val="2"/>
          <w:numId w:val="61"/>
        </w:numPr>
      </w:pPr>
      <w:r w:rsidRPr="001B13E5">
        <w:t>Neurophysiology studies (e.g., electromyography)</w:t>
      </w:r>
    </w:p>
    <w:p w:rsidRPr="001B13E5" w:rsidR="00EA46AA" w:rsidP="001B13E5" w:rsidRDefault="00EA46AA" w14:paraId="7CA29707" w14:textId="77777777">
      <w:pPr>
        <w:pStyle w:val="ListParagraph"/>
        <w:numPr>
          <w:ilvl w:val="2"/>
          <w:numId w:val="61"/>
        </w:numPr>
      </w:pPr>
      <w:r w:rsidRPr="001B13E5">
        <w:t>A positive anti- P/Q type voltage-gated calcium channel antibody test</w:t>
      </w:r>
    </w:p>
    <w:p w:rsidRPr="001B13E5" w:rsidR="00EA46AA" w:rsidP="001B13E5" w:rsidRDefault="00EA46AA" w14:paraId="0488E62D" w14:textId="77777777">
      <w:pPr>
        <w:pStyle w:val="ListParagraph"/>
        <w:numPr>
          <w:ilvl w:val="1"/>
          <w:numId w:val="61"/>
        </w:numPr>
      </w:pPr>
      <w:r w:rsidRPr="001B13E5">
        <w:t>Anticholinesterases (</w:t>
      </w:r>
      <w:proofErr w:type="spellStart"/>
      <w:r w:rsidRPr="001B13E5">
        <w:t>eg</w:t>
      </w:r>
      <w:proofErr w:type="spellEnd"/>
      <w:r w:rsidRPr="001B13E5">
        <w:t xml:space="preserve"> pyridostigmine) and amifampridine (e.g., 3,4-diaminopyridine phosphate, </w:t>
      </w:r>
      <w:proofErr w:type="spellStart"/>
      <w:r w:rsidRPr="001B13E5">
        <w:t>Firdapse</w:t>
      </w:r>
      <w:proofErr w:type="spellEnd"/>
      <w:r w:rsidRPr="001B13E5">
        <w:t>) have been tried but were unsuccessful or not tolerated</w:t>
      </w:r>
    </w:p>
    <w:p w:rsidRPr="001B13E5" w:rsidR="00EA46AA" w:rsidP="001B13E5" w:rsidRDefault="00EA46AA" w14:paraId="12F2FEED" w14:textId="77777777">
      <w:pPr>
        <w:pStyle w:val="ListParagraph"/>
        <w:numPr>
          <w:ilvl w:val="1"/>
          <w:numId w:val="61"/>
        </w:numPr>
      </w:pPr>
      <w:r w:rsidRPr="001B13E5">
        <w:t>Weakness is severe or there is difficulty with venous access for plasmapheresis</w:t>
      </w:r>
    </w:p>
    <w:p w:rsidRPr="001B13E5" w:rsidR="00EA46AA" w:rsidP="001B13E5" w:rsidRDefault="00EA46AA" w14:paraId="6F9E39DA" w14:textId="6EE8B920">
      <w:pPr>
        <w:pStyle w:val="ListParagraph"/>
        <w:numPr>
          <w:ilvl w:val="0"/>
          <w:numId w:val="61"/>
        </w:numPr>
      </w:pPr>
      <w:r w:rsidRPr="001B13E5">
        <w:t>Re-authorization of 6 months may be granted when member is responding to therapy (i.e., there is stability or improvement in symptoms relative to the natural course of LEMS).</w:t>
      </w:r>
    </w:p>
    <w:p w:rsidRPr="001B13E5" w:rsidR="00EA46AA" w:rsidP="00EA46AA" w:rsidRDefault="00EA46AA" w14:paraId="241E504A" w14:textId="602A2FEC">
      <w:pPr>
        <w:pStyle w:val="Heading3"/>
      </w:pPr>
      <w:r w:rsidRPr="001B13E5">
        <w:t>Kawasaki Syndrome</w:t>
      </w:r>
    </w:p>
    <w:p w:rsidRPr="001B13E5" w:rsidR="00EA46AA" w:rsidP="0035272B" w:rsidRDefault="00EA46AA" w14:paraId="6BD09C77" w14:textId="1CAC06B9">
      <w:pPr>
        <w:pStyle w:val="BodyText"/>
      </w:pPr>
      <w:r w:rsidRPr="001B13E5">
        <w:t>Authorization of 1 month may be granted for pediatric members with Kawasaki syndrome.</w:t>
      </w:r>
    </w:p>
    <w:p w:rsidRPr="001B13E5" w:rsidR="00EA46AA" w:rsidP="00EA46AA" w:rsidRDefault="00EA46AA" w14:paraId="3D0F7200" w14:textId="16F63D5F">
      <w:pPr>
        <w:pStyle w:val="Heading3"/>
      </w:pPr>
      <w:r w:rsidRPr="001B13E5">
        <w:t>Fetal/Neonatal Alloimmune Thrombocytopenia (F/NAIT)</w:t>
      </w:r>
    </w:p>
    <w:p w:rsidRPr="001B13E5" w:rsidR="00EA46AA" w:rsidP="0035272B" w:rsidRDefault="00EA46AA" w14:paraId="39BACA6C" w14:textId="38DD8E2B">
      <w:pPr>
        <w:pStyle w:val="BodyText"/>
      </w:pPr>
      <w:r w:rsidRPr="001B13E5">
        <w:t xml:space="preserve">Authorization of 6 months may be granted for treatment of F/NAIT. </w:t>
      </w:r>
    </w:p>
    <w:p w:rsidRPr="001B13E5" w:rsidR="00EA46AA" w:rsidP="00EA46AA" w:rsidRDefault="00EA46AA" w14:paraId="4DF45AE3" w14:textId="4A6BEF51">
      <w:pPr>
        <w:pStyle w:val="Heading3"/>
      </w:pPr>
      <w:r w:rsidRPr="001B13E5">
        <w:t>Parvovirus B19-induced Pure Red Cell Aplasia (PRCA)</w:t>
      </w:r>
    </w:p>
    <w:p w:rsidRPr="001B13E5" w:rsidR="00EA46AA" w:rsidP="00D36467" w:rsidRDefault="00EA46AA" w14:paraId="348D4D69" w14:textId="76F0F69A">
      <w:pPr>
        <w:pStyle w:val="BodyText"/>
      </w:pPr>
      <w:r w:rsidRPr="001B13E5">
        <w:t>Authorization of 6 months may be granted for severe, refractory anemia associated with bone marrow suppression, with parvovirus B19 viremia.</w:t>
      </w:r>
    </w:p>
    <w:p w:rsidRPr="001B13E5" w:rsidR="00EA46AA" w:rsidP="00EA46AA" w:rsidRDefault="00EA46AA" w14:paraId="2BDF7F2D" w14:textId="281440A2">
      <w:pPr>
        <w:pStyle w:val="Heading3"/>
      </w:pPr>
      <w:r w:rsidRPr="001B13E5">
        <w:t>Stiff-person Syndrome</w:t>
      </w:r>
    </w:p>
    <w:p w:rsidRPr="001B13E5" w:rsidR="00EA46AA" w:rsidP="0035272B" w:rsidRDefault="00EA46AA" w14:paraId="381EA682" w14:textId="77777777">
      <w:r w:rsidRPr="001B13E5">
        <w:t>Authorization of 6 months may be granted for stiff-person syndrome when the following criteria are met:</w:t>
      </w:r>
    </w:p>
    <w:p w:rsidRPr="001B13E5" w:rsidR="00EA46AA" w:rsidP="001B13E5" w:rsidRDefault="00EA46AA" w14:paraId="0AE695CF" w14:textId="77777777">
      <w:pPr>
        <w:pStyle w:val="ListParagraph"/>
        <w:numPr>
          <w:ilvl w:val="0"/>
          <w:numId w:val="62"/>
        </w:numPr>
      </w:pPr>
      <w:r w:rsidRPr="001B13E5">
        <w:t>Diagnosis has been confirmed by anti-glutamic acid decarboxylase (GAD) antibody testing</w:t>
      </w:r>
    </w:p>
    <w:p w:rsidRPr="001B13E5" w:rsidR="00EA46AA" w:rsidP="001B13E5" w:rsidRDefault="00EA46AA" w14:paraId="6B4DEB92" w14:textId="181EBF5E">
      <w:pPr>
        <w:pStyle w:val="ListParagraph"/>
        <w:numPr>
          <w:ilvl w:val="0"/>
          <w:numId w:val="62"/>
        </w:numPr>
      </w:pPr>
      <w:r w:rsidRPr="001B13E5">
        <w:t>Member had an inadequate response to first-line treatment (benzodiazepines and/or baclofen)</w:t>
      </w:r>
    </w:p>
    <w:p w:rsidRPr="001B13E5" w:rsidR="00EA46AA" w:rsidP="00EA46AA" w:rsidRDefault="00EA46AA" w14:paraId="27533F0B" w14:textId="26CE24C6">
      <w:pPr>
        <w:pStyle w:val="Heading3"/>
      </w:pPr>
      <w:r w:rsidRPr="001B13E5">
        <w:t>Management of Immune Checkpoint Inhibitor-Related Toxicities</w:t>
      </w:r>
    </w:p>
    <w:p w:rsidRPr="001B13E5" w:rsidR="00EA46AA" w:rsidP="0035272B" w:rsidRDefault="00EA46AA" w14:paraId="3FA65E57" w14:textId="77777777">
      <w:pPr>
        <w:pStyle w:val="BodyText"/>
      </w:pPr>
      <w:r w:rsidRPr="001B13E5">
        <w:t>Authorization of 1 month may be granted for management of immune checkpoint-inhibitor toxicities when all of the following criteria are met:</w:t>
      </w:r>
    </w:p>
    <w:p w:rsidRPr="001B13E5" w:rsidR="00EA46AA" w:rsidP="001B13E5" w:rsidRDefault="00EA46AA" w14:paraId="6C7E052C" w14:textId="4E600E59">
      <w:pPr>
        <w:pStyle w:val="ListParagraph"/>
        <w:numPr>
          <w:ilvl w:val="0"/>
          <w:numId w:val="63"/>
        </w:numPr>
      </w:pPr>
      <w:r w:rsidRPr="001B13E5">
        <w:t>Member has experienced a moderate or severe adverse event to a PD-1 or PD-L1 inhibitor (e.g., pembrolizumab, nivolumab, atezolizumab, avelumab, durvalumab)</w:t>
      </w:r>
    </w:p>
    <w:p w:rsidRPr="001B13E5" w:rsidR="00EA46AA" w:rsidP="001B13E5" w:rsidRDefault="00EA46AA" w14:paraId="39995375" w14:textId="77777777">
      <w:pPr>
        <w:pStyle w:val="ListParagraph"/>
        <w:numPr>
          <w:ilvl w:val="0"/>
          <w:numId w:val="63"/>
        </w:numPr>
      </w:pPr>
      <w:r w:rsidRPr="001B13E5">
        <w:t>The offending medication has been held or discontinued</w:t>
      </w:r>
    </w:p>
    <w:p w:rsidRPr="001B13E5" w:rsidR="00EA46AA" w:rsidP="001B13E5" w:rsidRDefault="00EA46AA" w14:paraId="50FF7F24" w14:textId="5E484B82">
      <w:pPr>
        <w:pStyle w:val="ListParagraph"/>
        <w:numPr>
          <w:ilvl w:val="0"/>
          <w:numId w:val="63"/>
        </w:numPr>
      </w:pPr>
      <w:bookmarkStart w:name="_Hlk106624163" w:id="1"/>
      <w:r w:rsidRPr="001B13E5">
        <w:t>Member experienced one or more of the following adverse events: myocarditis, bullous dermatitis, Stevens-Johnson syndrome, toxic epidermal necrolysis, pneumonitis, myasthenia gravis, peripheral neuropathy, encephalitis, transverse myelitis, severe inflammatory arthritis, Guillain-Barre syndrome, or steroid-refractory myalgias or myositis</w:t>
      </w:r>
      <w:bookmarkEnd w:id="1"/>
    </w:p>
    <w:p w:rsidRPr="001B13E5" w:rsidR="00EA46AA" w:rsidP="00EA46AA" w:rsidRDefault="00EA46AA" w14:paraId="74BD58A0" w14:textId="56A499B7">
      <w:pPr>
        <w:pStyle w:val="Heading3"/>
      </w:pPr>
      <w:r w:rsidRPr="001B13E5">
        <w:t>Acquired Red Cell Aplasia</w:t>
      </w:r>
    </w:p>
    <w:p w:rsidRPr="001B13E5" w:rsidR="00EA46AA" w:rsidP="0035272B" w:rsidRDefault="00EA46AA" w14:paraId="0B0AA319" w14:textId="0DEE2831">
      <w:pPr>
        <w:pStyle w:val="BodyText"/>
      </w:pPr>
      <w:r w:rsidRPr="001B13E5">
        <w:t>Authorization of 6 months may be granted for acquired red cell aplasia.</w:t>
      </w:r>
    </w:p>
    <w:p w:rsidRPr="001B13E5" w:rsidR="00EA46AA" w:rsidP="00EA46AA" w:rsidRDefault="00EA46AA" w14:paraId="321FA3CA" w14:textId="12653C89">
      <w:pPr>
        <w:pStyle w:val="Heading3"/>
      </w:pPr>
      <w:r w:rsidRPr="001B13E5">
        <w:t>Acute Disseminated Encephalomyelitis</w:t>
      </w:r>
    </w:p>
    <w:p w:rsidRPr="001B13E5" w:rsidR="00EA46AA" w:rsidP="0035272B" w:rsidRDefault="00EA46AA" w14:paraId="32626792" w14:textId="5ED2655C">
      <w:pPr>
        <w:pStyle w:val="BodyText"/>
      </w:pPr>
      <w:r w:rsidRPr="001B13E5">
        <w:t>Authorization of 1 month may be granted for acute disseminated encephalomyelitis in members who have had an insufficient response or a contraindication to intravenous corticosteroid treatment.</w:t>
      </w:r>
    </w:p>
    <w:p w:rsidRPr="001B13E5" w:rsidR="00EA46AA" w:rsidP="00EA46AA" w:rsidRDefault="00EA46AA" w14:paraId="042C23C9" w14:textId="411A9B94">
      <w:pPr>
        <w:pStyle w:val="Heading3"/>
      </w:pPr>
      <w:r w:rsidRPr="001B13E5">
        <w:t>Autoimmune Mucocutaneous Blistering Disease</w:t>
      </w:r>
    </w:p>
    <w:p w:rsidRPr="001B13E5" w:rsidR="00EA46AA" w:rsidP="0035272B" w:rsidRDefault="00EA46AA" w14:paraId="2C659509" w14:textId="77777777">
      <w:pPr>
        <w:pStyle w:val="BodyText"/>
      </w:pPr>
      <w:r w:rsidRPr="001B13E5">
        <w:t xml:space="preserve">Authorization of 6 months may be granted for autoimmune mucocutaneous blistering disease (includes pemphigus vulgaris, pemphigus foliaceus, bullous pemphigoid, mucous membrane pemphigoid, and epidermolysis bullosa </w:t>
      </w:r>
      <w:proofErr w:type="spellStart"/>
      <w:r w:rsidRPr="001B13E5">
        <w:t>acquisita</w:t>
      </w:r>
      <w:proofErr w:type="spellEnd"/>
      <w:r w:rsidRPr="001B13E5">
        <w:t>) when the following criteria are met:</w:t>
      </w:r>
    </w:p>
    <w:p w:rsidRPr="001B13E5" w:rsidR="00EA46AA" w:rsidP="001B13E5" w:rsidRDefault="00EA46AA" w14:paraId="50134AE4" w14:textId="77777777">
      <w:pPr>
        <w:pStyle w:val="ListParagraph"/>
        <w:numPr>
          <w:ilvl w:val="0"/>
          <w:numId w:val="64"/>
        </w:numPr>
      </w:pPr>
      <w:r w:rsidRPr="001B13E5">
        <w:t>Diagnosis has been proven by biopsy and confirmed by pathology report, and</w:t>
      </w:r>
    </w:p>
    <w:p w:rsidRPr="001B13E5" w:rsidR="00EA46AA" w:rsidP="001B13E5" w:rsidRDefault="00EA46AA" w14:paraId="0F2CF7C1" w14:textId="77777777">
      <w:pPr>
        <w:pStyle w:val="ListParagraph"/>
        <w:numPr>
          <w:ilvl w:val="0"/>
          <w:numId w:val="64"/>
        </w:numPr>
      </w:pPr>
      <w:r w:rsidRPr="001B13E5">
        <w:t>Condition is rapidly progressing, extensive or debilitating, and</w:t>
      </w:r>
    </w:p>
    <w:p w:rsidRPr="001B13E5" w:rsidR="00EA46AA" w:rsidP="001B13E5" w:rsidRDefault="00EA46AA" w14:paraId="0DAD3736" w14:textId="7562E44A">
      <w:pPr>
        <w:pStyle w:val="ListParagraph"/>
        <w:numPr>
          <w:ilvl w:val="0"/>
          <w:numId w:val="64"/>
        </w:numPr>
      </w:pPr>
      <w:r w:rsidRPr="001B13E5">
        <w:t>Member has failed or experienced significant complications (e.g., diabetes, steroid-induced osteoporosis) from standard treatment (corticosteroids, immunosuppressive agents).</w:t>
      </w:r>
    </w:p>
    <w:p w:rsidRPr="001B13E5" w:rsidR="00EA46AA" w:rsidP="00EA46AA" w:rsidRDefault="00EA46AA" w14:paraId="492BC32C" w14:textId="4847743D">
      <w:pPr>
        <w:pStyle w:val="Heading3"/>
      </w:pPr>
      <w:r w:rsidRPr="001B13E5">
        <w:t>Autoimmune Hemolytic Anemia</w:t>
      </w:r>
    </w:p>
    <w:p w:rsidRPr="001B13E5" w:rsidR="00EA46AA" w:rsidP="0035272B" w:rsidRDefault="00EA46AA" w14:paraId="11A0ABFC" w14:textId="77A00B95">
      <w:pPr>
        <w:pStyle w:val="BodyText"/>
      </w:pPr>
      <w:r w:rsidRPr="001B13E5">
        <w:t>Authorization of 6 months may be granted for warm-type autoimmune hemolytic anemia in members who do not respond or have a contraindication to corticosteroids or splenectomy.</w:t>
      </w:r>
    </w:p>
    <w:p w:rsidRPr="001B13E5" w:rsidR="00EA46AA" w:rsidP="00EA46AA" w:rsidRDefault="00EA46AA" w14:paraId="5BF2A229" w14:textId="1308952D">
      <w:pPr>
        <w:pStyle w:val="Heading3"/>
      </w:pPr>
      <w:r w:rsidRPr="001B13E5">
        <w:t>Autoimmune Neutropenia</w:t>
      </w:r>
    </w:p>
    <w:p w:rsidRPr="001B13E5" w:rsidR="00EA46AA" w:rsidP="0035272B" w:rsidRDefault="00EA46AA" w14:paraId="7517C7DF" w14:textId="01588F9F">
      <w:pPr>
        <w:pStyle w:val="BodyText"/>
      </w:pPr>
      <w:r w:rsidRPr="001B13E5">
        <w:t>Authorization of 6 months may be granted for autoimmune neutropenia where treatment with G-CSF (granulocyte colony stimulating factor) is not appropriate.</w:t>
      </w:r>
    </w:p>
    <w:p w:rsidRPr="001B13E5" w:rsidR="00EA46AA" w:rsidP="00EA46AA" w:rsidRDefault="00EA46AA" w14:paraId="2C5B9A91" w14:textId="0A1FC953">
      <w:pPr>
        <w:pStyle w:val="Heading3"/>
      </w:pPr>
      <w:r w:rsidRPr="001B13E5">
        <w:t xml:space="preserve">Birdshot </w:t>
      </w:r>
      <w:proofErr w:type="spellStart"/>
      <w:r w:rsidRPr="001B13E5">
        <w:t>Retinochoroidopathy</w:t>
      </w:r>
      <w:proofErr w:type="spellEnd"/>
    </w:p>
    <w:p w:rsidRPr="001B13E5" w:rsidR="00EA46AA" w:rsidP="0035272B" w:rsidRDefault="00EA46AA" w14:paraId="71ED5724" w14:textId="237BF5DE">
      <w:pPr>
        <w:pStyle w:val="BodyText"/>
      </w:pPr>
      <w:r w:rsidRPr="001B13E5">
        <w:t xml:space="preserve">Authorization of 6 months may be granted for birdshot (vitiliginous) </w:t>
      </w:r>
      <w:proofErr w:type="spellStart"/>
      <w:r w:rsidRPr="001B13E5">
        <w:t>retinochoroidopathy</w:t>
      </w:r>
      <w:proofErr w:type="spellEnd"/>
      <w:r w:rsidRPr="001B13E5">
        <w:t xml:space="preserve"> that is not responsive to immunosuppressives (e.g., corticosteroids, cyclosporine).</w:t>
      </w:r>
    </w:p>
    <w:p w:rsidRPr="001B13E5" w:rsidR="00EA46AA" w:rsidP="00EA46AA" w:rsidRDefault="00EA46AA" w14:paraId="3934FBA3" w14:textId="585B5A90">
      <w:pPr>
        <w:pStyle w:val="Heading3"/>
      </w:pPr>
      <w:r w:rsidRPr="001B13E5">
        <w:t>BK Virus Associated Nephropathy</w:t>
      </w:r>
    </w:p>
    <w:p w:rsidRPr="001B13E5" w:rsidR="00EA46AA" w:rsidP="0035272B" w:rsidRDefault="00EA46AA" w14:paraId="4A54280E" w14:textId="09B1D807">
      <w:pPr>
        <w:pStyle w:val="BodyText"/>
      </w:pPr>
      <w:r w:rsidRPr="001B13E5">
        <w:t>Authorization of 6 months may be granted for BK virus associated nephropathy.</w:t>
      </w:r>
    </w:p>
    <w:p w:rsidRPr="001B13E5" w:rsidR="00EA46AA" w:rsidP="00EA46AA" w:rsidRDefault="00EA46AA" w14:paraId="19917A54" w14:textId="38A6C729">
      <w:pPr>
        <w:pStyle w:val="Heading3"/>
      </w:pPr>
      <w:r w:rsidRPr="001B13E5">
        <w:t>Churg-Strauss Syndrome</w:t>
      </w:r>
    </w:p>
    <w:p w:rsidRPr="001B13E5" w:rsidR="00EA46AA" w:rsidP="0035272B" w:rsidRDefault="00EA46AA" w14:paraId="366EBAD5" w14:textId="65044AF7">
      <w:pPr>
        <w:pStyle w:val="BodyText"/>
      </w:pPr>
      <w:r w:rsidRPr="001B13E5">
        <w:t>Authorization of 6 months may be granted for severe, active Churg-Strauss syndrome as adjunctive therapy for members who have experienced failure, intolerance, or are contraindicated to other interventions.</w:t>
      </w:r>
    </w:p>
    <w:p w:rsidRPr="001B13E5" w:rsidR="00EA46AA" w:rsidP="00EA46AA" w:rsidRDefault="00EA46AA" w14:paraId="510248AE" w14:textId="23106A1D">
      <w:pPr>
        <w:pStyle w:val="Heading3"/>
      </w:pPr>
      <w:r w:rsidRPr="001B13E5">
        <w:t>Enteroviral Meningoencephalitis</w:t>
      </w:r>
    </w:p>
    <w:p w:rsidRPr="001B13E5" w:rsidR="00EA46AA" w:rsidP="0035272B" w:rsidRDefault="00EA46AA" w14:paraId="447B210E" w14:textId="364AC12E">
      <w:pPr>
        <w:pStyle w:val="BodyText"/>
      </w:pPr>
      <w:r w:rsidRPr="001B13E5">
        <w:t>Authorization of 6 months may be granted for severe cases of enteroviral meningoencephalitis.</w:t>
      </w:r>
    </w:p>
    <w:p w:rsidRPr="001B13E5" w:rsidR="00EA46AA" w:rsidP="00EA46AA" w:rsidRDefault="00EA46AA" w14:paraId="42AFE85B" w14:textId="719D124B">
      <w:pPr>
        <w:pStyle w:val="Heading3"/>
      </w:pPr>
      <w:proofErr w:type="spellStart"/>
      <w:r w:rsidRPr="001B13E5">
        <w:t>Hematophagocytic</w:t>
      </w:r>
      <w:proofErr w:type="spellEnd"/>
      <w:r w:rsidRPr="001B13E5">
        <w:t xml:space="preserve"> </w:t>
      </w:r>
      <w:proofErr w:type="spellStart"/>
      <w:r w:rsidRPr="001B13E5">
        <w:t>Lymphohistiocytosis</w:t>
      </w:r>
      <w:proofErr w:type="spellEnd"/>
      <w:r w:rsidRPr="001B13E5">
        <w:t xml:space="preserve"> (HLH) or Macrophage Activation Syndrome (MAS)</w:t>
      </w:r>
    </w:p>
    <w:p w:rsidRPr="001B13E5" w:rsidR="00EA46AA" w:rsidP="0035272B" w:rsidRDefault="00EA46AA" w14:paraId="37252000" w14:textId="3B411381">
      <w:pPr>
        <w:pStyle w:val="BodyText"/>
      </w:pPr>
      <w:r w:rsidRPr="001B13E5">
        <w:t>Authorization of 6 months may be granted for treatment of hypogammaglobulinemia in HLH or MAS when total IgG is less than 400 mg/dL or two standard deviations below the mean for age.</w:t>
      </w:r>
    </w:p>
    <w:p w:rsidRPr="001B13E5" w:rsidR="00EA46AA" w:rsidP="00EA46AA" w:rsidRDefault="00EA46AA" w14:paraId="26496EC0" w14:textId="4D221FD2">
      <w:pPr>
        <w:pStyle w:val="Heading3"/>
      </w:pPr>
      <w:r w:rsidRPr="001B13E5">
        <w:t>Hemolytic Disease of Newborn</w:t>
      </w:r>
    </w:p>
    <w:p w:rsidRPr="001B13E5" w:rsidR="00EA46AA" w:rsidP="0035272B" w:rsidRDefault="00EA46AA" w14:paraId="7E2CB9DC" w14:textId="71F1FA53">
      <w:pPr>
        <w:pStyle w:val="BodyText"/>
      </w:pPr>
      <w:r w:rsidRPr="001B13E5">
        <w:t xml:space="preserve">Authorization of 6 months may be granted for </w:t>
      </w:r>
      <w:proofErr w:type="spellStart"/>
      <w:r w:rsidRPr="001B13E5">
        <w:t>isoimmune</w:t>
      </w:r>
      <w:proofErr w:type="spellEnd"/>
      <w:r w:rsidRPr="001B13E5">
        <w:t xml:space="preserve"> hemolytic disease in neonates.</w:t>
      </w:r>
    </w:p>
    <w:p w:rsidRPr="001B13E5" w:rsidR="00EA46AA" w:rsidP="00EA46AA" w:rsidRDefault="00EA46AA" w14:paraId="14E336CB" w14:textId="3D34AA8E">
      <w:pPr>
        <w:pStyle w:val="Heading3"/>
      </w:pPr>
      <w:r w:rsidRPr="001B13E5">
        <w:t>HIV-associated Thrombocytopenia</w:t>
      </w:r>
    </w:p>
    <w:p w:rsidRPr="001B13E5" w:rsidR="00EA46AA" w:rsidP="0035272B" w:rsidRDefault="00EA46AA" w14:paraId="6BB9C59D" w14:textId="77777777">
      <w:pPr>
        <w:pStyle w:val="BodyText"/>
      </w:pPr>
      <w:r w:rsidRPr="001B13E5">
        <w:t>Authorization of 6 months may be granted for HIV-associated thrombocytopenia when the following criteria are met:</w:t>
      </w:r>
    </w:p>
    <w:p w:rsidRPr="001B13E5" w:rsidR="00EA46AA" w:rsidP="001B13E5" w:rsidRDefault="00EA46AA" w14:paraId="50DEF6E5" w14:textId="77777777">
      <w:pPr>
        <w:pStyle w:val="ListParagraph"/>
        <w:numPr>
          <w:ilvl w:val="0"/>
          <w:numId w:val="65"/>
        </w:numPr>
      </w:pPr>
      <w:r w:rsidRPr="001B13E5">
        <w:t>Pediatric members with IgG &lt; 400 mg/dL and one of the following:</w:t>
      </w:r>
    </w:p>
    <w:p w:rsidRPr="001B13E5" w:rsidR="00EA46AA" w:rsidP="001B13E5" w:rsidRDefault="00EA46AA" w14:paraId="14B28789" w14:textId="77777777">
      <w:pPr>
        <w:pStyle w:val="ListParagraph"/>
        <w:numPr>
          <w:ilvl w:val="1"/>
          <w:numId w:val="65"/>
        </w:numPr>
      </w:pPr>
      <w:r w:rsidRPr="001B13E5">
        <w:t>2 or more bacterial infections in a 1-year period despite antibiotic chemoprophylaxis with TMP-SMZ or another active agent, or</w:t>
      </w:r>
    </w:p>
    <w:p w:rsidRPr="001B13E5" w:rsidR="00EA46AA" w:rsidP="001B13E5" w:rsidRDefault="00EA46AA" w14:paraId="20064C2B" w14:textId="77777777">
      <w:pPr>
        <w:pStyle w:val="ListParagraph"/>
        <w:numPr>
          <w:ilvl w:val="1"/>
          <w:numId w:val="65"/>
        </w:numPr>
      </w:pPr>
      <w:r w:rsidRPr="001B13E5">
        <w:t>Received 2 doses of measles vaccine and lives in a region with a high prevalence or measles, or</w:t>
      </w:r>
    </w:p>
    <w:p w:rsidRPr="001B13E5" w:rsidR="00EA46AA" w:rsidP="001B13E5" w:rsidRDefault="00EA46AA" w14:paraId="2CA4C658" w14:textId="77777777">
      <w:pPr>
        <w:pStyle w:val="ListParagraph"/>
        <w:numPr>
          <w:ilvl w:val="1"/>
          <w:numId w:val="65"/>
        </w:numPr>
      </w:pPr>
      <w:r w:rsidRPr="001B13E5">
        <w:t>HIV-associated thrombocytopenia despite anti-retroviral therapy, or</w:t>
      </w:r>
    </w:p>
    <w:p w:rsidRPr="001B13E5" w:rsidR="00EA46AA" w:rsidP="001B13E5" w:rsidRDefault="00EA46AA" w14:paraId="4859E4B3" w14:textId="56134259">
      <w:pPr>
        <w:pStyle w:val="ListParagraph"/>
        <w:numPr>
          <w:ilvl w:val="1"/>
          <w:numId w:val="65"/>
        </w:numPr>
      </w:pPr>
      <w:r w:rsidRPr="001B13E5">
        <w:t xml:space="preserve">Chronic bronchiectasis that is </w:t>
      </w:r>
      <w:proofErr w:type="spellStart"/>
      <w:r w:rsidRPr="001B13E5">
        <w:t>suboptimally</w:t>
      </w:r>
      <w:proofErr w:type="spellEnd"/>
      <w:r w:rsidRPr="001B13E5">
        <w:t xml:space="preserve"> responsive to antimicrobial and pulmonary therapy, or</w:t>
      </w:r>
    </w:p>
    <w:p w:rsidRPr="001B13E5" w:rsidR="00EA46AA" w:rsidP="001B13E5" w:rsidRDefault="00EA46AA" w14:paraId="3BA792DA" w14:textId="77777777">
      <w:pPr>
        <w:pStyle w:val="ListParagraph"/>
        <w:numPr>
          <w:ilvl w:val="1"/>
          <w:numId w:val="65"/>
        </w:numPr>
      </w:pPr>
      <w:r w:rsidRPr="001B13E5">
        <w:t xml:space="preserve">T4 cell count </w:t>
      </w:r>
      <w:r w:rsidRPr="001B13E5">
        <w:rPr>
          <w:rFonts w:ascii="Cambria Math" w:hAnsi="Cambria Math" w:cs="Cambria Math"/>
        </w:rPr>
        <w:t>≥</w:t>
      </w:r>
      <w:r w:rsidRPr="001B13E5">
        <w:t xml:space="preserve"> 200/mm</w:t>
      </w:r>
      <w:r w:rsidRPr="001B13E5">
        <w:rPr>
          <w:vertAlign w:val="superscript"/>
        </w:rPr>
        <w:t>3</w:t>
      </w:r>
    </w:p>
    <w:p w:rsidRPr="001B13E5" w:rsidR="00EA46AA" w:rsidP="001B13E5" w:rsidRDefault="00EA46AA" w14:paraId="3421E6F0" w14:textId="53D65E37">
      <w:pPr>
        <w:pStyle w:val="ListParagraph"/>
        <w:numPr>
          <w:ilvl w:val="0"/>
          <w:numId w:val="65"/>
        </w:numPr>
      </w:pPr>
      <w:r w:rsidRPr="001B13E5">
        <w:t>Adult members with significant bleeding, platelet count &lt; 20,000/</w:t>
      </w:r>
      <w:proofErr w:type="spellStart"/>
      <w:r w:rsidRPr="001B13E5">
        <w:t>mcL</w:t>
      </w:r>
      <w:proofErr w:type="spellEnd"/>
      <w:r w:rsidRPr="001B13E5">
        <w:t xml:space="preserve">, and failure of </w:t>
      </w:r>
      <w:proofErr w:type="spellStart"/>
      <w:r w:rsidRPr="001B13E5">
        <w:t>RhIG</w:t>
      </w:r>
      <w:proofErr w:type="spellEnd"/>
      <w:r w:rsidRPr="001B13E5">
        <w:t xml:space="preserve"> in Rh-positive patients</w:t>
      </w:r>
    </w:p>
    <w:p w:rsidRPr="001B13E5" w:rsidR="00EA46AA" w:rsidP="00EA46AA" w:rsidRDefault="00EA46AA" w14:paraId="13A5609A" w14:textId="5D127449">
      <w:pPr>
        <w:pStyle w:val="Heading3"/>
      </w:pPr>
      <w:proofErr w:type="spellStart"/>
      <w:r w:rsidRPr="001B13E5">
        <w:t>Hyperimmunoglobulinemia</w:t>
      </w:r>
      <w:proofErr w:type="spellEnd"/>
      <w:r w:rsidRPr="001B13E5">
        <w:t xml:space="preserve"> E Syndrome</w:t>
      </w:r>
    </w:p>
    <w:p w:rsidRPr="001B13E5" w:rsidR="00EA46AA" w:rsidP="0035272B" w:rsidRDefault="00EA46AA" w14:paraId="6ED40412" w14:textId="5A6BFC32">
      <w:pPr>
        <w:pStyle w:val="BodyText"/>
      </w:pPr>
      <w:r w:rsidRPr="001B13E5">
        <w:t xml:space="preserve">Authorization of 6 months may be granted to treat severe eczema in </w:t>
      </w:r>
      <w:proofErr w:type="spellStart"/>
      <w:r w:rsidRPr="001B13E5">
        <w:t>hyperimmunoglobulinemia</w:t>
      </w:r>
      <w:proofErr w:type="spellEnd"/>
      <w:r w:rsidRPr="001B13E5">
        <w:t xml:space="preserve"> E syndrome.</w:t>
      </w:r>
    </w:p>
    <w:p w:rsidRPr="001B13E5" w:rsidR="00EA46AA" w:rsidP="00EA46AA" w:rsidRDefault="00EA46AA" w14:paraId="56AD22FE" w14:textId="2D06F164">
      <w:pPr>
        <w:pStyle w:val="Heading3"/>
      </w:pPr>
      <w:r w:rsidRPr="001B13E5">
        <w:t>Hypogammaglobulinemia from CAR-T therapy</w:t>
      </w:r>
    </w:p>
    <w:p w:rsidRPr="001B13E5" w:rsidR="00EA46AA" w:rsidP="0035272B" w:rsidRDefault="00EA46AA" w14:paraId="4D666F64" w14:textId="300F5325">
      <w:pPr>
        <w:pStyle w:val="BodyText"/>
      </w:pPr>
      <w:r w:rsidRPr="001B13E5">
        <w:t xml:space="preserve">Authorization of 6 months may be granted for members with IgG &lt; 400 mg/dL receiving treatment with CAR-T therapy </w:t>
      </w:r>
      <w:bookmarkStart w:name="_Hlk75169941" w:id="2"/>
      <w:bookmarkStart w:name="_Hlk74743513" w:id="3"/>
      <w:r w:rsidRPr="001B13E5">
        <w:t xml:space="preserve">(including but not limited to </w:t>
      </w:r>
      <w:proofErr w:type="spellStart"/>
      <w:r w:rsidRPr="001B13E5">
        <w:t>idecabtagene</w:t>
      </w:r>
      <w:proofErr w:type="spellEnd"/>
      <w:r w:rsidRPr="001B13E5">
        <w:t xml:space="preserve"> </w:t>
      </w:r>
      <w:proofErr w:type="spellStart"/>
      <w:r w:rsidRPr="001B13E5">
        <w:t>vicleucel</w:t>
      </w:r>
      <w:proofErr w:type="spellEnd"/>
      <w:r w:rsidRPr="001B13E5">
        <w:t xml:space="preserve"> [</w:t>
      </w:r>
      <w:proofErr w:type="spellStart"/>
      <w:r w:rsidRPr="001B13E5">
        <w:t>Abecma</w:t>
      </w:r>
      <w:proofErr w:type="spellEnd"/>
      <w:r w:rsidRPr="001B13E5">
        <w:t xml:space="preserve">], </w:t>
      </w:r>
      <w:proofErr w:type="spellStart"/>
      <w:r w:rsidRPr="001B13E5">
        <w:t>tisagenlecleucel</w:t>
      </w:r>
      <w:proofErr w:type="spellEnd"/>
      <w:r w:rsidRPr="001B13E5">
        <w:t xml:space="preserve"> [Kymriah], or </w:t>
      </w:r>
      <w:proofErr w:type="spellStart"/>
      <w:r w:rsidRPr="001B13E5">
        <w:t>axicabtagene</w:t>
      </w:r>
      <w:proofErr w:type="spellEnd"/>
      <w:r w:rsidRPr="001B13E5">
        <w:t xml:space="preserve"> </w:t>
      </w:r>
      <w:proofErr w:type="spellStart"/>
      <w:r w:rsidRPr="001B13E5">
        <w:t>ciloleucel</w:t>
      </w:r>
      <w:proofErr w:type="spellEnd"/>
      <w:r w:rsidRPr="001B13E5">
        <w:t xml:space="preserve"> [</w:t>
      </w:r>
      <w:proofErr w:type="spellStart"/>
      <w:r w:rsidRPr="001B13E5">
        <w:t>Yescarta</w:t>
      </w:r>
      <w:proofErr w:type="spellEnd"/>
      <w:r w:rsidRPr="001B13E5">
        <w:t>]).</w:t>
      </w:r>
      <w:bookmarkEnd w:id="2"/>
      <w:bookmarkEnd w:id="3"/>
    </w:p>
    <w:p w:rsidRPr="001B13E5" w:rsidR="00EA46AA" w:rsidP="00EA46AA" w:rsidRDefault="00EA46AA" w14:paraId="6DCC2D10" w14:textId="75F157F3">
      <w:pPr>
        <w:pStyle w:val="Heading3"/>
      </w:pPr>
      <w:r w:rsidRPr="001B13E5">
        <w:t>Multiple Myeloma</w:t>
      </w:r>
    </w:p>
    <w:p w:rsidRPr="001B13E5" w:rsidR="00EA46AA" w:rsidP="0035272B" w:rsidRDefault="00EA46AA" w14:paraId="39E8211A" w14:textId="79EBEE10">
      <w:pPr>
        <w:pStyle w:val="BodyText"/>
      </w:pPr>
      <w:r w:rsidRPr="001B13E5">
        <w:t>Authorization of 6 months may be granted for multiple myeloma in members who have recurrent, serious infections despite the use of prophylactic antibiotics.</w:t>
      </w:r>
    </w:p>
    <w:p w:rsidRPr="001B13E5" w:rsidR="00EA46AA" w:rsidP="00EA46AA" w:rsidRDefault="00EA46AA" w14:paraId="194AABBA" w14:textId="355C040F">
      <w:pPr>
        <w:pStyle w:val="Heading3"/>
      </w:pPr>
      <w:r w:rsidRPr="001B13E5">
        <w:t>Neonatal Hemochromatosis</w:t>
      </w:r>
    </w:p>
    <w:p w:rsidRPr="001B13E5" w:rsidR="00EA46AA" w:rsidP="0035272B" w:rsidRDefault="00EA46AA" w14:paraId="1331DD5B" w14:textId="1761D366">
      <w:pPr>
        <w:pStyle w:val="BodyText"/>
      </w:pPr>
      <w:r w:rsidRPr="001B13E5">
        <w:t>Authorization of 6 months may be granted for prophylaxis in members who are pregnant with a history of pregnancy ending in documented neonatal hemochromatosis.</w:t>
      </w:r>
    </w:p>
    <w:p w:rsidRPr="001B13E5" w:rsidR="00EA46AA" w:rsidP="00EA46AA" w:rsidRDefault="00EA46AA" w14:paraId="7B05B436" w14:textId="0CE60979">
      <w:pPr>
        <w:pStyle w:val="Heading3"/>
      </w:pPr>
      <w:r w:rsidRPr="001B13E5">
        <w:t>Opsoclonus-myoclonus</w:t>
      </w:r>
    </w:p>
    <w:p w:rsidRPr="001B13E5" w:rsidR="00EA46AA" w:rsidP="0035272B" w:rsidRDefault="00EA46AA" w14:paraId="24DF78C0" w14:textId="77777777">
      <w:pPr>
        <w:pStyle w:val="BodyText"/>
      </w:pPr>
      <w:r w:rsidRPr="001B13E5">
        <w:t>Authorization of 6 months may be granted for treatment of either of the following:</w:t>
      </w:r>
    </w:p>
    <w:p w:rsidRPr="001B13E5" w:rsidR="00EA46AA" w:rsidP="001B13E5" w:rsidRDefault="00EA46AA" w14:paraId="2C281E6A" w14:textId="77777777">
      <w:pPr>
        <w:pStyle w:val="ListParagraph"/>
        <w:numPr>
          <w:ilvl w:val="0"/>
          <w:numId w:val="66"/>
        </w:numPr>
      </w:pPr>
      <w:r w:rsidRPr="001B13E5">
        <w:t>Paraneoplastic opsoclonus-myoclonus-ataxia associated with neuroblastoma</w:t>
      </w:r>
    </w:p>
    <w:p w:rsidRPr="001B13E5" w:rsidR="00EA46AA" w:rsidP="001B13E5" w:rsidRDefault="00EA46AA" w14:paraId="62B0B22B" w14:textId="4AD55F02">
      <w:pPr>
        <w:pStyle w:val="ListParagraph"/>
        <w:numPr>
          <w:ilvl w:val="0"/>
          <w:numId w:val="66"/>
        </w:numPr>
      </w:pPr>
      <w:r w:rsidRPr="001B13E5">
        <w:t>Refractory opsoclonus-myoclonus, as last-resort treatment</w:t>
      </w:r>
    </w:p>
    <w:p w:rsidRPr="001B13E5" w:rsidR="00EA46AA" w:rsidP="00EA46AA" w:rsidRDefault="00EA46AA" w14:paraId="2FB0056C" w14:textId="0B6430D0">
      <w:pPr>
        <w:pStyle w:val="Heading3"/>
      </w:pPr>
      <w:r w:rsidRPr="001B13E5">
        <w:t>Post-transfusion Purpura</w:t>
      </w:r>
    </w:p>
    <w:p w:rsidRPr="001B13E5" w:rsidR="00EA46AA" w:rsidP="0035272B" w:rsidRDefault="00EA46AA" w14:paraId="60D47F3B" w14:textId="69AB66E3">
      <w:pPr>
        <w:pStyle w:val="BodyText"/>
      </w:pPr>
      <w:r w:rsidRPr="001B13E5">
        <w:t>Authorization of 1 month may be granted for post-transfusion purpura</w:t>
      </w:r>
    </w:p>
    <w:p w:rsidRPr="001B13E5" w:rsidR="00EA46AA" w:rsidP="00EA46AA" w:rsidRDefault="00EA46AA" w14:paraId="5321F218" w14:textId="09C9A9B5">
      <w:pPr>
        <w:pStyle w:val="Heading3"/>
      </w:pPr>
      <w:r w:rsidRPr="001B13E5">
        <w:t>Rasmussen Encephalitis</w:t>
      </w:r>
    </w:p>
    <w:p w:rsidRPr="001B13E5" w:rsidR="00EA46AA" w:rsidP="0035272B" w:rsidRDefault="00EA46AA" w14:paraId="44CE8652" w14:textId="6F51EA92">
      <w:pPr>
        <w:pStyle w:val="BodyText"/>
      </w:pPr>
      <w:r w:rsidRPr="001B13E5">
        <w:t>Authorization of 6 months may be granted for Rasmussen encephalitis in members whose symptoms do not improve with anti-epileptic drugs and corticosteroids.</w:t>
      </w:r>
    </w:p>
    <w:p w:rsidRPr="001B13E5" w:rsidR="00EA46AA" w:rsidP="00EA46AA" w:rsidRDefault="00EA46AA" w14:paraId="4203C1AB" w14:textId="043C56FD">
      <w:pPr>
        <w:pStyle w:val="Heading3"/>
      </w:pPr>
      <w:r w:rsidRPr="001B13E5">
        <w:t>Renal Transplantation</w:t>
      </w:r>
    </w:p>
    <w:p w:rsidRPr="001B13E5" w:rsidR="00EA46AA" w:rsidP="00D36467" w:rsidRDefault="00EA46AA" w14:paraId="4820E693" w14:textId="528AD24C">
      <w:pPr>
        <w:pStyle w:val="BodyText"/>
      </w:pPr>
      <w:r w:rsidRPr="001B13E5">
        <w:t>Authorization of 6 months may be granted for a member undergoing renal transplantation from a live donor with ABO incompatibility or positive cross match.</w:t>
      </w:r>
    </w:p>
    <w:p w:rsidRPr="001B13E5" w:rsidR="00EA46AA" w:rsidP="00EA46AA" w:rsidRDefault="00EA46AA" w14:paraId="313A608F" w14:textId="53ED8CC6">
      <w:pPr>
        <w:pStyle w:val="Heading3"/>
      </w:pPr>
      <w:r w:rsidRPr="001B13E5">
        <w:t>Secondary Immunosuppression Associated with Major Surgery, Hematological Malignancy, Major Burns, and Collagen-Vascular Diseases</w:t>
      </w:r>
    </w:p>
    <w:p w:rsidRPr="001B13E5" w:rsidR="00EA46AA" w:rsidP="0035272B" w:rsidRDefault="00EA46AA" w14:paraId="682F97FB" w14:textId="291C7A88">
      <w:pPr>
        <w:pStyle w:val="BodyText"/>
      </w:pPr>
      <w:r w:rsidRPr="001B13E5">
        <w:t>Authorization of 6 months may be granted to prevent or modify recurrent bacterial or viral infections in members with secondary immunosuppression (IgG &lt; 400 mg/dL) associated with major surgery, hematological malignancy, extensive burns, or collagen-vascular disease.</w:t>
      </w:r>
    </w:p>
    <w:p w:rsidRPr="001B13E5" w:rsidR="00EA46AA" w:rsidP="00EA46AA" w:rsidRDefault="00EA46AA" w14:paraId="04E67013" w14:textId="602B6ADE">
      <w:pPr>
        <w:pStyle w:val="Heading3"/>
      </w:pPr>
      <w:r w:rsidRPr="001B13E5">
        <w:t>Solid Organ Transplantation</w:t>
      </w:r>
    </w:p>
    <w:p w:rsidRPr="001B13E5" w:rsidR="00EA46AA" w:rsidP="0035272B" w:rsidRDefault="00EA46AA" w14:paraId="45FF3FBE" w14:textId="22B74663">
      <w:r w:rsidRPr="001B13E5">
        <w:t xml:space="preserve">Authorization of 6 months may be granted for solid organ transplantation for </w:t>
      </w:r>
      <w:proofErr w:type="spellStart"/>
      <w:r w:rsidRPr="001B13E5">
        <w:t>allosensitized</w:t>
      </w:r>
      <w:proofErr w:type="spellEnd"/>
      <w:r w:rsidRPr="001B13E5">
        <w:t xml:space="preserve"> members.</w:t>
      </w:r>
    </w:p>
    <w:p w:rsidRPr="001B13E5" w:rsidR="00EA46AA" w:rsidP="00EA46AA" w:rsidRDefault="00EA46AA" w14:paraId="6C3D2706" w14:textId="0AE7D658">
      <w:pPr>
        <w:pStyle w:val="Heading3"/>
      </w:pPr>
      <w:r w:rsidRPr="001B13E5">
        <w:t>Toxic Epidermal Necrolysis and Stevens-Johnson Syndrome</w:t>
      </w:r>
    </w:p>
    <w:p w:rsidRPr="001B13E5" w:rsidR="00EA46AA" w:rsidP="0035272B" w:rsidRDefault="00EA46AA" w14:paraId="39151A0B" w14:textId="400FB27C">
      <w:pPr>
        <w:pStyle w:val="BodyText"/>
      </w:pPr>
      <w:r w:rsidRPr="001B13E5">
        <w:t>Authorization of 1 month may be granted for severe cases of toxic epidermal necrolysis or Stevens-Johnson syndrome.</w:t>
      </w:r>
    </w:p>
    <w:p w:rsidRPr="001B13E5" w:rsidR="00EA46AA" w:rsidP="00EA46AA" w:rsidRDefault="00EA46AA" w14:paraId="7994E8C4" w14:textId="795F7932">
      <w:pPr>
        <w:pStyle w:val="Heading3"/>
      </w:pPr>
      <w:r w:rsidRPr="001B13E5">
        <w:t>Toxic Shock Syndrome</w:t>
      </w:r>
    </w:p>
    <w:p w:rsidRPr="001B13E5" w:rsidR="00EA46AA" w:rsidP="0035272B" w:rsidRDefault="00EA46AA" w14:paraId="416B2B7E" w14:textId="649A2EE1">
      <w:pPr>
        <w:pStyle w:val="BodyText"/>
      </w:pPr>
      <w:r w:rsidRPr="001B13E5">
        <w:t>Authorization of 1 month may be granted for staphylococcal or streptococcal toxic shock syndrome when the infection is refractory to several hours of aggressive therapy, an undrainable focus is present, or the member has persistent oliguria with pulmonary edema.</w:t>
      </w:r>
    </w:p>
    <w:p w:rsidRPr="001B13E5" w:rsidR="00EA46AA" w:rsidP="00EA46AA" w:rsidRDefault="00EA46AA" w14:paraId="47704542" w14:textId="0185ED03">
      <w:pPr>
        <w:pStyle w:val="Heading3"/>
      </w:pPr>
      <w:r w:rsidRPr="001B13E5">
        <w:t>Systemic Lupus Erythematosus</w:t>
      </w:r>
    </w:p>
    <w:p w:rsidRPr="001B13E5" w:rsidR="00EA46AA" w:rsidP="0035272B" w:rsidRDefault="00EA46AA" w14:paraId="47B0B84E" w14:textId="36432B14">
      <w:pPr>
        <w:pStyle w:val="BodyText"/>
      </w:pPr>
      <w:r w:rsidR="00EA46AA">
        <w:rPr/>
        <w:t xml:space="preserve">Authorization of 6 months may be granted for severe, active SLE in members who have experienced inadequate response, intolerance or have a contraindication to </w:t>
      </w:r>
      <w:r w:rsidR="00EA46AA">
        <w:rPr/>
        <w:t>first and second line</w:t>
      </w:r>
      <w:r w:rsidR="00EA46AA">
        <w:rPr/>
        <w:t xml:space="preserve"> therapies (e.g., </w:t>
      </w:r>
      <w:r w:rsidR="7D241BF9">
        <w:rPr/>
        <w:t>hydroxychloroquine</w:t>
      </w:r>
      <w:r w:rsidR="00EA46AA">
        <w:rPr/>
        <w:t xml:space="preserve">, glucocorticoids, </w:t>
      </w:r>
      <w:r w:rsidR="00EA46AA">
        <w:rPr/>
        <w:t>anifrolumab</w:t>
      </w:r>
      <w:r w:rsidR="00EA46AA">
        <w:rPr/>
        <w:t>, rituximab).</w:t>
      </w:r>
    </w:p>
    <w:p w:rsidRPr="001B13E5" w:rsidR="00EA46AA" w:rsidP="00EA46AA" w:rsidRDefault="00EA46AA" w14:paraId="619B5EE0" w14:textId="6C75950E">
      <w:pPr>
        <w:pStyle w:val="Heading3"/>
      </w:pPr>
      <w:r w:rsidRPr="001B13E5">
        <w:t>Measles (Rubeola) Prophylaxis</w:t>
      </w:r>
    </w:p>
    <w:p w:rsidRPr="001B13E5" w:rsidR="00EA46AA" w:rsidP="0035272B" w:rsidRDefault="00EA46AA" w14:paraId="5CC8A804" w14:textId="64D17227">
      <w:pPr>
        <w:pStyle w:val="BodyText"/>
      </w:pPr>
      <w:bookmarkStart w:name="_Hlk106713063" w:id="4"/>
      <w:r w:rsidRPr="001B13E5">
        <w:t>Authorization of 1 month may be granted for postexposure prophylaxis to prevent or modify symptoms of measles (rubeola) in susceptible members exposed to the disease less than 6 days previously.</w:t>
      </w:r>
    </w:p>
    <w:bookmarkEnd w:id="4"/>
    <w:p w:rsidRPr="001B13E5" w:rsidR="00EA46AA" w:rsidP="00EA46AA" w:rsidRDefault="00EA46AA" w14:paraId="18E2858F" w14:textId="6FC40BD9">
      <w:pPr>
        <w:pStyle w:val="Heading3"/>
      </w:pPr>
      <w:r w:rsidRPr="001B13E5">
        <w:t>Tetanus Treatment and Prophylaxis</w:t>
      </w:r>
    </w:p>
    <w:p w:rsidRPr="001B13E5" w:rsidR="00EA46AA" w:rsidP="0035272B" w:rsidRDefault="00EA46AA" w14:paraId="0C5164C9" w14:textId="3BE53E41">
      <w:pPr>
        <w:pStyle w:val="BodyText"/>
      </w:pPr>
      <w:bookmarkStart w:name="_Hlk106713136" w:id="5"/>
      <w:r w:rsidRPr="001B13E5">
        <w:t>Authorization of 1 month may be granted for treatment or postexposure prophylaxis of tetanus as an alternative when tetanus immune globulin (TIG) is unavailable.</w:t>
      </w:r>
    </w:p>
    <w:bookmarkEnd w:id="5"/>
    <w:p w:rsidRPr="001B13E5" w:rsidR="00EA46AA" w:rsidP="00EA46AA" w:rsidRDefault="00EA46AA" w14:paraId="299427D8" w14:textId="406CA4C6">
      <w:pPr>
        <w:pStyle w:val="Heading3"/>
      </w:pPr>
      <w:r w:rsidRPr="001B13E5">
        <w:t>Varicella Prophylaxis</w:t>
      </w:r>
    </w:p>
    <w:p w:rsidRPr="001B13E5" w:rsidR="00EA46AA" w:rsidP="0035272B" w:rsidRDefault="00EA46AA" w14:paraId="5046FB9F" w14:textId="5170001E">
      <w:pPr>
        <w:pStyle w:val="BodyText"/>
      </w:pPr>
      <w:bookmarkStart w:name="_Hlk106713199" w:id="6"/>
      <w:r w:rsidRPr="001B13E5">
        <w:t>Authorization of 1 month may be granted for postexposure prophylaxis of varicella in susceptible individuals when varicella-zoster immune globulin (VZIG) is unavailable.</w:t>
      </w:r>
      <w:bookmarkEnd w:id="6"/>
    </w:p>
    <w:p w:rsidRPr="001B13E5" w:rsidR="00EA46AA" w:rsidP="00EA46AA" w:rsidRDefault="00EA46AA" w14:paraId="4E2FD7BB" w14:textId="5CB8A2AF">
      <w:pPr>
        <w:pStyle w:val="Heading3"/>
      </w:pPr>
      <w:r w:rsidRPr="001B13E5">
        <w:t>Toxic Necrotizing Fasciitis Due to Group A Streptococcus</w:t>
      </w:r>
    </w:p>
    <w:p w:rsidRPr="001B13E5" w:rsidR="00EA46AA" w:rsidP="00EA46AA" w:rsidRDefault="00EA46AA" w14:paraId="05BF1351" w14:textId="0D519962">
      <w:pPr>
        <w:pStyle w:val="BodyText"/>
      </w:pPr>
      <w:r w:rsidRPr="001B13E5">
        <w:t>Authorization of 1 month may be granted for members with fasciitis due to invasive streptococcal infection.</w:t>
      </w:r>
    </w:p>
    <w:p w:rsidRPr="001B13E5" w:rsidR="00A501AC" w:rsidP="00A501AC" w:rsidRDefault="00A501AC" w14:paraId="3A643EC3" w14:textId="1165E6BD">
      <w:pPr>
        <w:pStyle w:val="Heading2"/>
      </w:pPr>
      <w:r w:rsidRPr="001B13E5">
        <w:t>Continuation of Therapy</w:t>
      </w:r>
    </w:p>
    <w:p w:rsidRPr="001B13E5" w:rsidR="0035272B" w:rsidP="0035272B" w:rsidRDefault="0035272B" w14:paraId="0260E2B5" w14:textId="50C164CD">
      <w:pPr>
        <w:pStyle w:val="BodyText"/>
      </w:pPr>
      <w:r w:rsidRPr="001B13E5">
        <w:t>Authorization may be granted for continuation of therapy when either the following criteria is met:</w:t>
      </w:r>
    </w:p>
    <w:p w:rsidRPr="001B13E5" w:rsidR="0035272B" w:rsidP="001B13E5" w:rsidRDefault="0035272B" w14:paraId="59E5DEFE" w14:textId="2644E783">
      <w:pPr>
        <w:pStyle w:val="ListParagraph"/>
        <w:numPr>
          <w:ilvl w:val="0"/>
          <w:numId w:val="67"/>
        </w:numPr>
      </w:pPr>
      <w:r w:rsidRPr="001B13E5">
        <w:t>For conditions with reauthorization criteria listed under the coverage criteria section: Members who are currently receiving IG therapy must meet the applicable reauthorization criteria for the member’s condition.</w:t>
      </w:r>
    </w:p>
    <w:p w:rsidRPr="001B13E5" w:rsidR="00BE55E6" w:rsidP="001B13E5" w:rsidRDefault="0035272B" w14:paraId="1FD3601D" w14:textId="6CB5D2A7">
      <w:pPr>
        <w:pStyle w:val="ListParagraph"/>
        <w:numPr>
          <w:ilvl w:val="0"/>
          <w:numId w:val="67"/>
        </w:numPr>
      </w:pPr>
      <w:r w:rsidRPr="001B13E5">
        <w:t>For all other conditions, all members (including new members) must meet the requirements in the coverage criteria.</w:t>
      </w:r>
    </w:p>
    <w:p w:rsidRPr="001B13E5" w:rsidR="008B1332" w:rsidP="008B1332" w:rsidRDefault="008B1332" w14:paraId="784D6ED7" w14:textId="734BFBE9">
      <w:pPr>
        <w:pStyle w:val="Heading2"/>
      </w:pPr>
      <w:r w:rsidRPr="001B13E5">
        <w:t>Appendi</w:t>
      </w:r>
      <w:r w:rsidR="00EB2551">
        <w:t>x</w:t>
      </w:r>
    </w:p>
    <w:p w:rsidRPr="001B13E5" w:rsidR="00D36467" w:rsidP="00D36467" w:rsidRDefault="00D36467" w14:paraId="78E44AF5" w14:textId="7852C383">
      <w:pPr>
        <w:pStyle w:val="Heading3"/>
      </w:pPr>
      <w:r w:rsidRPr="001B13E5">
        <w:t>Appendix A: Impaired Antibody Response to Pneumococcal Polysaccharide Vaccine</w:t>
      </w:r>
    </w:p>
    <w:p w:rsidRPr="001B13E5" w:rsidR="00D36467" w:rsidP="001B13E5" w:rsidRDefault="00D36467" w14:paraId="691C89D8" w14:textId="450C1B92">
      <w:pPr>
        <w:pStyle w:val="ListParagraph"/>
        <w:numPr>
          <w:ilvl w:val="0"/>
          <w:numId w:val="68"/>
        </w:numPr>
      </w:pPr>
      <w:r w:rsidRPr="001B13E5">
        <w:t>Age 2 years and older: impaired antibody response demonstrated to vaccination with a pneumococcal polysaccharide vaccine</w:t>
      </w:r>
    </w:p>
    <w:p w:rsidRPr="001B13E5" w:rsidR="00D36467" w:rsidP="001B13E5" w:rsidRDefault="00D36467" w14:paraId="06E11297" w14:textId="77777777">
      <w:pPr>
        <w:pStyle w:val="ListParagraph"/>
        <w:numPr>
          <w:ilvl w:val="0"/>
          <w:numId w:val="68"/>
        </w:numPr>
      </w:pPr>
      <w:r w:rsidRPr="001B13E5">
        <w:t>Not established for children less than 2 years of age</w:t>
      </w:r>
    </w:p>
    <w:p w:rsidRPr="001B13E5" w:rsidR="00D36467" w:rsidP="001B13E5" w:rsidRDefault="00D36467" w14:paraId="368D3BDA" w14:textId="76D6C99D">
      <w:pPr>
        <w:pStyle w:val="ListParagraph"/>
        <w:numPr>
          <w:ilvl w:val="0"/>
          <w:numId w:val="68"/>
        </w:numPr>
      </w:pPr>
      <w:r w:rsidRPr="001B13E5">
        <w:t>Excludes the therapy initiated in the hospital setting</w:t>
      </w:r>
    </w:p>
    <w:p w:rsidRPr="001B13E5" w:rsidR="00D36467" w:rsidP="00D36467" w:rsidRDefault="00D36467" w14:paraId="633DDFBA" w14:textId="7F533FE7">
      <w:pPr>
        <w:pStyle w:val="Heading3"/>
      </w:pPr>
      <w:r w:rsidRPr="001B13E5">
        <w:t>Appendix B: Examples of Risk Factors for Bleeding (not all inclusive)</w:t>
      </w:r>
    </w:p>
    <w:p w:rsidRPr="001B13E5" w:rsidR="00D36467" w:rsidP="001B13E5" w:rsidRDefault="00D36467" w14:paraId="57BCD1FD" w14:textId="77777777">
      <w:pPr>
        <w:pStyle w:val="ListParagraph"/>
        <w:numPr>
          <w:ilvl w:val="0"/>
          <w:numId w:val="69"/>
        </w:numPr>
      </w:pPr>
      <w:r w:rsidRPr="001B13E5">
        <w:t>Undergoing a medical or dental procedure where blood loss is anticipated</w:t>
      </w:r>
    </w:p>
    <w:p w:rsidRPr="001B13E5" w:rsidR="00D36467" w:rsidP="001B13E5" w:rsidRDefault="00D36467" w14:paraId="01D0B493" w14:textId="69AA507A">
      <w:pPr>
        <w:pStyle w:val="ListParagraph"/>
        <w:numPr>
          <w:ilvl w:val="0"/>
          <w:numId w:val="69"/>
        </w:numPr>
      </w:pPr>
      <w:r w:rsidRPr="001B13E5">
        <w:t>Comorbidity (</w:t>
      </w:r>
      <w:proofErr w:type="spellStart"/>
      <w:r w:rsidRPr="001B13E5">
        <w:t>eg</w:t>
      </w:r>
      <w:proofErr w:type="spellEnd"/>
      <w:r w:rsidRPr="001B13E5">
        <w:t>, peptic ulcer disease, hypertension)</w:t>
      </w:r>
    </w:p>
    <w:p w:rsidRPr="001B13E5" w:rsidR="00D36467" w:rsidP="001B13E5" w:rsidRDefault="00D36467" w14:paraId="3EAC20D4" w14:textId="45DE4D6F">
      <w:pPr>
        <w:pStyle w:val="ListParagraph"/>
        <w:numPr>
          <w:ilvl w:val="0"/>
          <w:numId w:val="69"/>
        </w:numPr>
      </w:pPr>
      <w:r w:rsidRPr="001B13E5">
        <w:t>Mandated anticoagulation therapy</w:t>
      </w:r>
    </w:p>
    <w:p w:rsidRPr="001B13E5" w:rsidR="00693997" w:rsidP="001B13E5" w:rsidRDefault="00D36467" w14:paraId="64481C29" w14:textId="7C4D717D">
      <w:pPr>
        <w:pStyle w:val="ListParagraph"/>
        <w:numPr>
          <w:ilvl w:val="0"/>
          <w:numId w:val="69"/>
        </w:numPr>
      </w:pPr>
      <w:r w:rsidRPr="001B13E5">
        <w:t>Profession or lifestyle predisposes patient to trauma (</w:t>
      </w:r>
      <w:proofErr w:type="spellStart"/>
      <w:r w:rsidRPr="001B13E5">
        <w:t>eg</w:t>
      </w:r>
      <w:proofErr w:type="spellEnd"/>
      <w:r w:rsidRPr="001B13E5">
        <w:t>, construction worker, fireman, professional athlete)</w:t>
      </w:r>
      <w:bookmarkStart w:name="S2.2" w:id="7"/>
      <w:bookmarkStart w:name="section-2.2" w:id="8"/>
      <w:bookmarkStart w:name="section-2.2.1" w:id="9"/>
      <w:bookmarkStart w:name="section-2.2.2" w:id="10"/>
      <w:bookmarkEnd w:id="7"/>
      <w:bookmarkEnd w:id="8"/>
      <w:bookmarkEnd w:id="9"/>
      <w:bookmarkEnd w:id="10"/>
    </w:p>
    <w:p w:rsidRPr="001B13E5" w:rsidR="00FF66BF" w:rsidP="00FF66BF" w:rsidRDefault="00FF66BF" w14:paraId="10DA4309" w14:textId="61DB7528">
      <w:pPr>
        <w:pStyle w:val="Heading2"/>
      </w:pPr>
      <w:r w:rsidRPr="001B13E5">
        <w:t>References</w:t>
      </w:r>
    </w:p>
    <w:p w:rsidRPr="001B13E5" w:rsidR="00D36467" w:rsidP="00D36467" w:rsidRDefault="00D36467" w14:paraId="18686D95" w14:textId="77777777">
      <w:pPr>
        <w:pStyle w:val="ReferenceOrdered"/>
      </w:pPr>
      <w:proofErr w:type="spellStart"/>
      <w:r w:rsidRPr="001B13E5">
        <w:t>Asceniv</w:t>
      </w:r>
      <w:proofErr w:type="spellEnd"/>
      <w:r w:rsidRPr="001B13E5">
        <w:t xml:space="preserve"> [package insert]. Boca Raton, FL: ADMA Biologics; April 2019.</w:t>
      </w:r>
    </w:p>
    <w:p w:rsidRPr="001B13E5" w:rsidR="00D36467" w:rsidP="00D36467" w:rsidRDefault="00D36467" w14:paraId="7940B5BB" w14:textId="77777777">
      <w:pPr>
        <w:pStyle w:val="ReferenceOrdered"/>
      </w:pPr>
      <w:proofErr w:type="spellStart"/>
      <w:r w:rsidRPr="001B13E5">
        <w:t>Bivigam</w:t>
      </w:r>
      <w:proofErr w:type="spellEnd"/>
      <w:r w:rsidRPr="001B13E5">
        <w:t xml:space="preserve"> [package insert]. Boca Raton, FL: ADMA Biologics; March 2024.</w:t>
      </w:r>
    </w:p>
    <w:p w:rsidRPr="001B13E5" w:rsidR="00D36467" w:rsidP="00D36467" w:rsidRDefault="00D36467" w14:paraId="4288C783" w14:textId="77777777">
      <w:pPr>
        <w:pStyle w:val="ReferenceOrdered"/>
      </w:pPr>
      <w:proofErr w:type="spellStart"/>
      <w:r w:rsidRPr="001B13E5">
        <w:t>Carimune</w:t>
      </w:r>
      <w:proofErr w:type="spellEnd"/>
      <w:r w:rsidRPr="001B13E5">
        <w:t xml:space="preserve"> NF [package insert]. Kankakee, IL: CSL Behring LLC; May 2018.</w:t>
      </w:r>
    </w:p>
    <w:p w:rsidRPr="001B13E5" w:rsidR="00D36467" w:rsidP="00D36467" w:rsidRDefault="00D36467" w14:paraId="145ABABE" w14:textId="77777777">
      <w:pPr>
        <w:pStyle w:val="ReferenceOrdered"/>
      </w:pPr>
      <w:proofErr w:type="spellStart"/>
      <w:r w:rsidRPr="001B13E5">
        <w:t>Flebogamma</w:t>
      </w:r>
      <w:proofErr w:type="spellEnd"/>
      <w:r w:rsidRPr="001B13E5">
        <w:t xml:space="preserve"> 10% DIF [package insert]. Los Angeles, CA: Grifols Biologicals, Inc.; September 2019.</w:t>
      </w:r>
    </w:p>
    <w:p w:rsidRPr="001B13E5" w:rsidR="00D36467" w:rsidP="00D36467" w:rsidRDefault="00D36467" w14:paraId="77BACFCE" w14:textId="77777777">
      <w:pPr>
        <w:pStyle w:val="ReferenceOrdered"/>
      </w:pPr>
      <w:proofErr w:type="spellStart"/>
      <w:r w:rsidRPr="001B13E5">
        <w:t>Flebogamma</w:t>
      </w:r>
      <w:proofErr w:type="spellEnd"/>
      <w:r w:rsidRPr="001B13E5">
        <w:t xml:space="preserve"> 5% DIF [package insert]. Los Angeles, CA: Grifols Biologicals, Inc.; September 2019.</w:t>
      </w:r>
    </w:p>
    <w:p w:rsidRPr="001B13E5" w:rsidR="00D36467" w:rsidP="00D36467" w:rsidRDefault="00D36467" w14:paraId="54C3084C" w14:textId="77777777">
      <w:pPr>
        <w:pStyle w:val="ReferenceOrdered"/>
      </w:pPr>
      <w:proofErr w:type="spellStart"/>
      <w:r w:rsidRPr="001B13E5">
        <w:t>Gammagard</w:t>
      </w:r>
      <w:proofErr w:type="spellEnd"/>
      <w:r w:rsidRPr="001B13E5">
        <w:t xml:space="preserve"> Liquid [package insert]. Westlake Village, CA: Baxalta US Inc.; January 2024.</w:t>
      </w:r>
    </w:p>
    <w:p w:rsidRPr="001B13E5" w:rsidR="00D36467" w:rsidP="00D36467" w:rsidRDefault="00D36467" w14:paraId="59222C31" w14:textId="77777777">
      <w:pPr>
        <w:pStyle w:val="ReferenceOrdered"/>
      </w:pPr>
      <w:r w:rsidRPr="001B13E5">
        <w:rPr>
          <w:lang w:val="sv-SE"/>
        </w:rPr>
        <w:t xml:space="preserve">Gammagard S/D [package insert]. </w:t>
      </w:r>
      <w:r w:rsidRPr="001B13E5">
        <w:t xml:space="preserve">Lexington, MA: Baxalta US Inc.; March 2023. </w:t>
      </w:r>
    </w:p>
    <w:p w:rsidRPr="001B13E5" w:rsidR="00D36467" w:rsidP="00D36467" w:rsidRDefault="00D36467" w14:paraId="0F0632D0" w14:textId="4207C444">
      <w:pPr>
        <w:pStyle w:val="ReferenceOrdered"/>
      </w:pPr>
      <w:proofErr w:type="spellStart"/>
      <w:r w:rsidRPr="001B13E5">
        <w:t>Gammagard</w:t>
      </w:r>
      <w:proofErr w:type="spellEnd"/>
      <w:r w:rsidRPr="001B13E5">
        <w:t xml:space="preserve"> S/D IgA less than 1 mcg/mL [package insert]. Westlake Village, CA: Baxalta US Inc.; September 2016.</w:t>
      </w:r>
    </w:p>
    <w:p w:rsidRPr="001B13E5" w:rsidR="00D36467" w:rsidP="00D36467" w:rsidRDefault="00D36467" w14:paraId="7BD81553" w14:textId="77777777">
      <w:pPr>
        <w:pStyle w:val="ReferenceOrdered"/>
      </w:pPr>
      <w:r w:rsidRPr="001B13E5">
        <w:t>Gammaked [package insert]. Research Triangle Park, NC: Grifols Therapeutics LLC; January 2020.</w:t>
      </w:r>
    </w:p>
    <w:p w:rsidRPr="001B13E5" w:rsidR="00D36467" w:rsidP="00D36467" w:rsidRDefault="00D36467" w14:paraId="2BB70119" w14:textId="2F3EDB5B">
      <w:pPr>
        <w:pStyle w:val="ReferenceOrdered"/>
      </w:pPr>
      <w:proofErr w:type="spellStart"/>
      <w:r w:rsidRPr="001B13E5">
        <w:t>Gammaplex</w:t>
      </w:r>
      <w:proofErr w:type="spellEnd"/>
      <w:r w:rsidRPr="001B13E5">
        <w:t xml:space="preserve"> 5% [package insert]. Hertfordshire, United Kingdom: Bio Products Laboratory; November 2021.</w:t>
      </w:r>
    </w:p>
    <w:p w:rsidRPr="001B13E5" w:rsidR="00D36467" w:rsidP="00D36467" w:rsidRDefault="00D36467" w14:paraId="26B1DDF2" w14:textId="3F014849">
      <w:pPr>
        <w:pStyle w:val="ReferenceOrdered"/>
      </w:pPr>
      <w:proofErr w:type="spellStart"/>
      <w:r w:rsidRPr="001B13E5">
        <w:t>Gammaplex</w:t>
      </w:r>
      <w:proofErr w:type="spellEnd"/>
      <w:r w:rsidRPr="001B13E5">
        <w:t xml:space="preserve"> 10% [package insert]. Hertfordshire, United Kingdom: Bio Products Laboratory; November 2021.</w:t>
      </w:r>
    </w:p>
    <w:p w:rsidRPr="001B13E5" w:rsidR="00D36467" w:rsidP="00D36467" w:rsidRDefault="00D36467" w14:paraId="109C59CB" w14:textId="19720CCD">
      <w:pPr>
        <w:pStyle w:val="ReferenceOrdered"/>
      </w:pPr>
      <w:proofErr w:type="spellStart"/>
      <w:r w:rsidRPr="001B13E5">
        <w:t>Gamunex</w:t>
      </w:r>
      <w:proofErr w:type="spellEnd"/>
      <w:r w:rsidRPr="001B13E5">
        <w:t>-C [package insert]. Research Triangle Park, NC: Grifols Therapeutics Inc.; January 2020.</w:t>
      </w:r>
    </w:p>
    <w:p w:rsidRPr="00F30F1E" w:rsidR="00D36467" w:rsidP="00D36467" w:rsidRDefault="00D36467" w14:paraId="592D8228" w14:textId="4761C6AD">
      <w:pPr>
        <w:pStyle w:val="ReferenceOrdered"/>
      </w:pPr>
      <w:proofErr w:type="spellStart"/>
      <w:r w:rsidRPr="001B13E5">
        <w:t>Octagam</w:t>
      </w:r>
      <w:proofErr w:type="spellEnd"/>
      <w:r w:rsidRPr="001B13E5">
        <w:t xml:space="preserve"> 10% [package insert]. </w:t>
      </w:r>
      <w:r w:rsidRPr="00F30F1E">
        <w:t>Hoboken, NJ: Octapharma USA, Inc.; April 2022.</w:t>
      </w:r>
    </w:p>
    <w:p w:rsidRPr="001B13E5" w:rsidR="00D36467" w:rsidP="00D36467" w:rsidRDefault="00D36467" w14:paraId="41E72853" w14:textId="77777777">
      <w:pPr>
        <w:pStyle w:val="ReferenceOrdered"/>
      </w:pPr>
      <w:proofErr w:type="spellStart"/>
      <w:r w:rsidRPr="001B13E5">
        <w:t>Octagam</w:t>
      </w:r>
      <w:proofErr w:type="spellEnd"/>
      <w:r w:rsidRPr="001B13E5">
        <w:t xml:space="preserve"> 5% [package insert]. Hoboken, NJ: </w:t>
      </w:r>
      <w:proofErr w:type="spellStart"/>
      <w:r w:rsidRPr="001B13E5">
        <w:t>Octapharma</w:t>
      </w:r>
      <w:proofErr w:type="spellEnd"/>
      <w:r w:rsidRPr="001B13E5">
        <w:t xml:space="preserve"> USA, Inc.; April 2022.</w:t>
      </w:r>
    </w:p>
    <w:p w:rsidRPr="001B13E5" w:rsidR="00D36467" w:rsidP="00D36467" w:rsidRDefault="00D36467" w14:paraId="5C02D24A" w14:textId="77777777">
      <w:pPr>
        <w:pStyle w:val="ReferenceOrdered"/>
      </w:pPr>
      <w:proofErr w:type="spellStart"/>
      <w:r w:rsidRPr="001B13E5">
        <w:t>Panzyga</w:t>
      </w:r>
      <w:proofErr w:type="spellEnd"/>
      <w:r w:rsidRPr="001B13E5">
        <w:t xml:space="preserve"> [package insert]. Hoboken, NJ: </w:t>
      </w:r>
      <w:proofErr w:type="spellStart"/>
      <w:r w:rsidRPr="001B13E5">
        <w:t>Octapharma</w:t>
      </w:r>
      <w:proofErr w:type="spellEnd"/>
      <w:r w:rsidRPr="001B13E5">
        <w:t xml:space="preserve"> USA.; February 2021.</w:t>
      </w:r>
    </w:p>
    <w:p w:rsidRPr="001B13E5" w:rsidR="00D36467" w:rsidP="00D36467" w:rsidRDefault="00D36467" w14:paraId="734A4E6D" w14:textId="0D0FA927">
      <w:pPr>
        <w:pStyle w:val="ReferenceOrdered"/>
      </w:pPr>
      <w:proofErr w:type="spellStart"/>
      <w:r w:rsidRPr="001B13E5">
        <w:t>Privigen</w:t>
      </w:r>
      <w:proofErr w:type="spellEnd"/>
      <w:r w:rsidRPr="001B13E5">
        <w:t xml:space="preserve"> [package insert]. Kankakee, IL: CSL Behring LLC; March 2022.</w:t>
      </w:r>
    </w:p>
    <w:p w:rsidRPr="001B13E5" w:rsidR="00D36467" w:rsidP="00D36467" w:rsidRDefault="00D36467" w14:paraId="04AF9ADF" w14:textId="2CD8E987">
      <w:pPr>
        <w:pStyle w:val="ReferenceOrdered"/>
      </w:pPr>
      <w:r w:rsidRPr="001B13E5">
        <w:t>DRUGDEX® System (electronic version). Truven Health Analytics, Ann Arbor, MI. Available at http://www.micromedexsolutions.com [available with subscription]. Accessed May 7, 2024.</w:t>
      </w:r>
    </w:p>
    <w:p w:rsidRPr="001B13E5" w:rsidR="00D36467" w:rsidP="00D36467" w:rsidRDefault="00D36467" w14:paraId="5FD50672" w14:textId="77777777">
      <w:pPr>
        <w:pStyle w:val="ReferenceOrdered"/>
      </w:pPr>
      <w:r w:rsidRPr="001B13E5">
        <w:rPr>
          <w:lang w:val="de-AT"/>
        </w:rPr>
        <w:t xml:space="preserve">AHFS Drug Information. http://online.lexi.com/lco. </w:t>
      </w:r>
      <w:r w:rsidRPr="001B13E5">
        <w:t>Accessed May 7, 2024.</w:t>
      </w:r>
    </w:p>
    <w:p w:rsidRPr="001B13E5" w:rsidR="00D36467" w:rsidP="00D36467" w:rsidRDefault="00D36467" w14:paraId="0A652E6A" w14:textId="77777777">
      <w:pPr>
        <w:pStyle w:val="ReferenceOrdered"/>
      </w:pPr>
      <w:r w:rsidRPr="001B13E5">
        <w:t xml:space="preserve">Perez EE, Orange JS, Bonilla F, et al. Update on the use of immunoglobulin in human disease: a review of evidence by Work Group Report of the American Academy of Allergy, Asthma, and Immunology. </w:t>
      </w:r>
      <w:r w:rsidRPr="001B13E5">
        <w:rPr>
          <w:i/>
          <w:iCs/>
        </w:rPr>
        <w:t>J Allergy Clin Immunol</w:t>
      </w:r>
      <w:r w:rsidRPr="001B13E5">
        <w:t>. 2017;139:S1-46.</w:t>
      </w:r>
    </w:p>
    <w:p w:rsidRPr="001B13E5" w:rsidR="00D36467" w:rsidP="00D36467" w:rsidRDefault="00D36467" w14:paraId="66B25AAB" w14:textId="1883A7E7">
      <w:pPr>
        <w:pStyle w:val="ReferenceOrdered"/>
      </w:pPr>
      <w:r w:rsidRPr="001B13E5">
        <w:t>Panel on Opportunistic Infections in HIV-Exposed and HIV-Infected Children. Guidelines for the Prevention and Treatment of Opportunistic Infections in HIV-Exposed and HIV-Infected Children. Department of Health and Human Services. Available at: https://clinicalinfo.hiv.gov/sites/default/files/guidelines/documents/pediatric-oi/guidelines-pediatric-oi.pdf. Accessed May 7, 2024.</w:t>
      </w:r>
    </w:p>
    <w:p w:rsidRPr="001B13E5" w:rsidR="00D36467" w:rsidP="00D36467" w:rsidRDefault="00D36467" w14:paraId="24D8544E" w14:textId="0DCD03D1">
      <w:pPr>
        <w:pStyle w:val="ReferenceOrdered"/>
      </w:pPr>
      <w:r w:rsidRPr="001B13E5">
        <w:rPr>
          <w:lang w:val="de-AT"/>
        </w:rPr>
        <w:t xml:space="preserve">Tomblyn M, Chiller T, Einsele H, et al. </w:t>
      </w:r>
      <w:r w:rsidRPr="001B13E5">
        <w:t xml:space="preserve">Guidelines for preventing infectious complications among hematopoietic cell transplant recipients: a global perspective. </w:t>
      </w:r>
      <w:r w:rsidRPr="001B13E5">
        <w:rPr>
          <w:i/>
          <w:iCs/>
        </w:rPr>
        <w:t>Biol Blood Marrow Transplant</w:t>
      </w:r>
      <w:r w:rsidRPr="001B13E5">
        <w:t>. 2009;15(10):1143-1238.</w:t>
      </w:r>
    </w:p>
    <w:p w:rsidRPr="001B13E5" w:rsidR="00D36467" w:rsidP="00D36467" w:rsidRDefault="00D36467" w14:paraId="1A26FF44" w14:textId="77777777">
      <w:pPr>
        <w:pStyle w:val="ReferenceOrdered"/>
      </w:pPr>
      <w:proofErr w:type="spellStart"/>
      <w:r w:rsidRPr="001B13E5">
        <w:t>Feasby</w:t>
      </w:r>
      <w:proofErr w:type="spellEnd"/>
      <w:r w:rsidRPr="001B13E5">
        <w:t xml:space="preserve"> T, </w:t>
      </w:r>
      <w:proofErr w:type="spellStart"/>
      <w:r w:rsidRPr="001B13E5">
        <w:t>Banwell</w:t>
      </w:r>
      <w:proofErr w:type="spellEnd"/>
      <w:r w:rsidRPr="001B13E5">
        <w:t xml:space="preserve"> B, </w:t>
      </w:r>
      <w:proofErr w:type="spellStart"/>
      <w:r w:rsidRPr="001B13E5">
        <w:t>Bernstead</w:t>
      </w:r>
      <w:proofErr w:type="spellEnd"/>
      <w:r w:rsidRPr="001B13E5">
        <w:t xml:space="preserve"> T, et al. Guidelines on the use of intravenous immune globulin for neurologic conditions. </w:t>
      </w:r>
      <w:proofErr w:type="spellStart"/>
      <w:r w:rsidRPr="001B13E5">
        <w:rPr>
          <w:i/>
          <w:iCs/>
        </w:rPr>
        <w:t>Transfus</w:t>
      </w:r>
      <w:proofErr w:type="spellEnd"/>
      <w:r w:rsidRPr="001B13E5">
        <w:rPr>
          <w:i/>
          <w:iCs/>
        </w:rPr>
        <w:t xml:space="preserve"> Med Rev</w:t>
      </w:r>
      <w:r w:rsidRPr="001B13E5">
        <w:t>. 2007;21(2):S57-S107.</w:t>
      </w:r>
    </w:p>
    <w:p w:rsidRPr="001B13E5" w:rsidR="00D36467" w:rsidP="00D36467" w:rsidRDefault="00D36467" w14:paraId="651B9FC1" w14:textId="77777777">
      <w:pPr>
        <w:pStyle w:val="ReferenceOrdered"/>
      </w:pPr>
      <w:r w:rsidRPr="001B13E5">
        <w:t xml:space="preserve">Donofrio PD, Berger A, Brannagan TH 3rd, et al. Consensus statement: the use of intravenous immunoglobulin in the treatment of neuromuscular conditions report of the AANEM ad hoc committee. </w:t>
      </w:r>
      <w:r w:rsidRPr="001B13E5">
        <w:rPr>
          <w:i/>
          <w:iCs/>
        </w:rPr>
        <w:t>Muscle Nerve</w:t>
      </w:r>
      <w:r w:rsidRPr="001B13E5">
        <w:t>. 2009;40(5):890-900.</w:t>
      </w:r>
    </w:p>
    <w:p w:rsidRPr="001B13E5" w:rsidR="00D36467" w:rsidP="00D36467" w:rsidRDefault="00D36467" w14:paraId="6FCC96F6" w14:textId="0D181390">
      <w:pPr>
        <w:pStyle w:val="ReferenceOrdered"/>
      </w:pPr>
      <w:r w:rsidRPr="001B13E5">
        <w:rPr>
          <w:lang w:val="nl-BE"/>
        </w:rPr>
        <w:t xml:space="preserve">Elovaara I, Apostolski S, van Doorn P, et al. </w:t>
      </w:r>
      <w:r w:rsidRPr="001B13E5">
        <w:t xml:space="preserve">EFNS guidelines for the use of intravenous </w:t>
      </w:r>
      <w:r w:rsidRPr="001B13E5">
        <w:rPr>
          <w:rStyle w:val="highlight2"/>
          <w:sz w:val="20"/>
          <w:szCs w:val="20"/>
        </w:rPr>
        <w:t>immunoglobulin</w:t>
      </w:r>
      <w:r w:rsidRPr="001B13E5">
        <w:t xml:space="preserve"> in treatment of neurological diseases: EFNS task force on the use of intravenous </w:t>
      </w:r>
      <w:r w:rsidRPr="001B13E5">
        <w:rPr>
          <w:rStyle w:val="highlight2"/>
          <w:sz w:val="20"/>
          <w:szCs w:val="20"/>
        </w:rPr>
        <w:t>immunoglobulin</w:t>
      </w:r>
      <w:r w:rsidRPr="001B13E5">
        <w:t xml:space="preserve"> in treatment of neurological diseases. </w:t>
      </w:r>
      <w:r w:rsidRPr="001B13E5">
        <w:rPr>
          <w:i/>
          <w:iCs/>
        </w:rPr>
        <w:t xml:space="preserve">Eur J Neurol. </w:t>
      </w:r>
      <w:r w:rsidRPr="001B13E5">
        <w:t>2008;15(9):893-908.</w:t>
      </w:r>
    </w:p>
    <w:p w:rsidRPr="001B13E5" w:rsidR="00D36467" w:rsidP="00D36467" w:rsidRDefault="00D36467" w14:paraId="16C85222" w14:textId="6FB33C59">
      <w:pPr>
        <w:pStyle w:val="ReferenceOrdered"/>
      </w:pPr>
      <w:r w:rsidRPr="001B13E5">
        <w:t xml:space="preserve">Patwa HS, Chaudhry V, Katzberg H, et al. Evidence-based guideline: intravenous immunoglobulin in the treatment of neuromuscular disorders: report of the Therapeutics and Technology Assessment Subcommittee of the American Academy of Neurology. </w:t>
      </w:r>
      <w:r w:rsidRPr="001B13E5">
        <w:rPr>
          <w:i/>
          <w:iCs/>
        </w:rPr>
        <w:t>Neurology</w:t>
      </w:r>
      <w:r w:rsidRPr="001B13E5">
        <w:t>. 2012;78(13);1009-1015.</w:t>
      </w:r>
    </w:p>
    <w:p w:rsidRPr="001B13E5" w:rsidR="00D36467" w:rsidP="00D36467" w:rsidRDefault="00D36467" w14:paraId="6FAE05CB" w14:textId="4A1F15A5">
      <w:pPr>
        <w:pStyle w:val="ReferenceOrdered"/>
      </w:pPr>
      <w:r w:rsidRPr="001B13E5">
        <w:t xml:space="preserve">Anderson D, Kaiser A, Blanchette V, et al. Guidelines on the use of intravenous immune globulin for hematologic conditions. </w:t>
      </w:r>
      <w:proofErr w:type="spellStart"/>
      <w:r w:rsidRPr="001B13E5">
        <w:rPr>
          <w:i/>
          <w:iCs/>
        </w:rPr>
        <w:t>Transfus</w:t>
      </w:r>
      <w:proofErr w:type="spellEnd"/>
      <w:r w:rsidRPr="001B13E5">
        <w:rPr>
          <w:i/>
          <w:iCs/>
        </w:rPr>
        <w:t xml:space="preserve"> Med Rev</w:t>
      </w:r>
      <w:r w:rsidRPr="001B13E5">
        <w:t>. 2007;21(2):S9-S56.</w:t>
      </w:r>
    </w:p>
    <w:p w:rsidRPr="001B13E5" w:rsidR="00D36467" w:rsidP="00D36467" w:rsidRDefault="00D36467" w14:paraId="02211E9B" w14:textId="5EB08A1E">
      <w:pPr>
        <w:pStyle w:val="ReferenceOrdered"/>
      </w:pPr>
      <w:r w:rsidRPr="001B13E5">
        <w:t xml:space="preserve">Picard C, Al-Herz W, </w:t>
      </w:r>
      <w:proofErr w:type="spellStart"/>
      <w:r w:rsidRPr="001B13E5">
        <w:t>Bousfiha</w:t>
      </w:r>
      <w:proofErr w:type="spellEnd"/>
      <w:r w:rsidRPr="001B13E5">
        <w:t xml:space="preserve"> A, et al. Primary immunodeficiency diseases: an update on the classification from the International Union of Immunological Societies Expert Committee for Primary Immunodeficiency</w:t>
      </w:r>
      <w:r w:rsidRPr="001B13E5">
        <w:rPr>
          <w:i/>
          <w:iCs/>
        </w:rPr>
        <w:t>. J Clin Immunol</w:t>
      </w:r>
      <w:r w:rsidRPr="001B13E5">
        <w:t>. 2015; 35(8):696-726.</w:t>
      </w:r>
    </w:p>
    <w:p w:rsidRPr="001B13E5" w:rsidR="00D36467" w:rsidP="00D36467" w:rsidRDefault="00D36467" w14:paraId="4B9FDC7A" w14:textId="258E49C3">
      <w:pPr>
        <w:pStyle w:val="ReferenceOrdered"/>
      </w:pPr>
      <w:r w:rsidRPr="001B13E5">
        <w:rPr>
          <w:lang w:val="it-IT"/>
        </w:rPr>
        <w:t xml:space="preserve">Bonilla FA, Khan DA, Ballas ZK, et al. </w:t>
      </w:r>
      <w:r w:rsidRPr="001B13E5">
        <w:t xml:space="preserve">Practice parameter for the diagnosis and management of primary immunodeficiency. </w:t>
      </w:r>
      <w:r w:rsidRPr="001B13E5">
        <w:rPr>
          <w:rStyle w:val="jrnl"/>
          <w:i/>
          <w:sz w:val="20"/>
          <w:szCs w:val="20"/>
        </w:rPr>
        <w:t>J Allergy Clin Immunol</w:t>
      </w:r>
      <w:r w:rsidRPr="001B13E5">
        <w:t>. 2015;136(5):1186-205.e1-78.</w:t>
      </w:r>
    </w:p>
    <w:p w:rsidRPr="001B13E5" w:rsidR="00D36467" w:rsidP="00D36467" w:rsidRDefault="00D36467" w14:paraId="4EDA08B1" w14:textId="35AF774B">
      <w:pPr>
        <w:pStyle w:val="ReferenceOrdered"/>
      </w:pPr>
      <w:r w:rsidRPr="001B13E5">
        <w:rPr>
          <w:lang w:val="de-AT"/>
        </w:rPr>
        <w:t xml:space="preserve">Orange JS, Ballow M, Stiehm ER, et al. </w:t>
      </w:r>
      <w:r w:rsidRPr="001B13E5">
        <w:t xml:space="preserve">Use and interpretation of diagnostic vaccination in primary immunodeficiency: a working group report of the Basic and Clinical Immunology Interest section of the American Academy of Allergy, Asthma and Immunology. </w:t>
      </w:r>
      <w:r w:rsidRPr="001B13E5">
        <w:rPr>
          <w:i/>
          <w:iCs/>
        </w:rPr>
        <w:t>J Allergy Clin Immunol</w:t>
      </w:r>
      <w:r w:rsidRPr="001B13E5">
        <w:t>. 2012;130:S1-S24.</w:t>
      </w:r>
    </w:p>
    <w:p w:rsidRPr="001B13E5" w:rsidR="00D36467" w:rsidP="00D36467" w:rsidRDefault="00D36467" w14:paraId="1D8C4D03" w14:textId="27803C48">
      <w:pPr>
        <w:pStyle w:val="ReferenceOrdered"/>
      </w:pPr>
      <w:proofErr w:type="spellStart"/>
      <w:r w:rsidRPr="001B13E5">
        <w:t>Ameratunga</w:t>
      </w:r>
      <w:proofErr w:type="spellEnd"/>
      <w:r w:rsidRPr="001B13E5">
        <w:t xml:space="preserve"> R, </w:t>
      </w:r>
      <w:proofErr w:type="spellStart"/>
      <w:r w:rsidRPr="001B13E5">
        <w:t>Woon</w:t>
      </w:r>
      <w:proofErr w:type="spellEnd"/>
      <w:r w:rsidRPr="001B13E5">
        <w:t xml:space="preserve"> ST, Gillis D, Koopmans W, Steele R. New diagnostic criteria for common variable immune deficiency (CVID), which may assist with decisions to treat with intravenous or subcutaneous immunoglobulin. </w:t>
      </w:r>
      <w:r w:rsidRPr="001B13E5">
        <w:rPr>
          <w:rStyle w:val="jrnl"/>
          <w:i/>
          <w:sz w:val="20"/>
          <w:szCs w:val="20"/>
        </w:rPr>
        <w:t>Clin Exp Immunol</w:t>
      </w:r>
      <w:r w:rsidRPr="001B13E5">
        <w:t>. 2013;174(2):203-11.</w:t>
      </w:r>
    </w:p>
    <w:p w:rsidRPr="001B13E5" w:rsidR="00D36467" w:rsidP="00D36467" w:rsidRDefault="00D36467" w14:paraId="2A733658" w14:textId="7D956D4B">
      <w:pPr>
        <w:pStyle w:val="ReferenceOrdered"/>
      </w:pPr>
      <w:r w:rsidRPr="001B13E5">
        <w:t>Immune Deficiency Foundation. About primary immunodeficiencies. Specific disease types. http://primaryimmune.org/about-primary-immunodeficiencies/specific-disease-types/. Accessed May 7, 2024.</w:t>
      </w:r>
    </w:p>
    <w:p w:rsidRPr="001B13E5" w:rsidR="00D36467" w:rsidP="00D36467" w:rsidRDefault="00D36467" w14:paraId="20F8A809" w14:textId="688EDFF6">
      <w:pPr>
        <w:pStyle w:val="ReferenceOrdered"/>
      </w:pPr>
      <w:r w:rsidRPr="001B13E5">
        <w:t>European Society for Immunodeficiencies. Diagnostic criteria for PID. http://esid.org/Working-Parties/Clinical/Resources/Diagnostic-criteria-for-PID2. Accessed May 7, 2024.</w:t>
      </w:r>
    </w:p>
    <w:p w:rsidRPr="001B13E5" w:rsidR="00D36467" w:rsidP="00D36467" w:rsidRDefault="00D36467" w14:paraId="7E53217B" w14:textId="4C32DB2D">
      <w:pPr>
        <w:pStyle w:val="ReferenceOrdered"/>
      </w:pPr>
      <w:r w:rsidRPr="001B13E5">
        <w:t xml:space="preserve">Immune Deficiency Foundation. </w:t>
      </w:r>
      <w:r w:rsidRPr="001B13E5">
        <w:rPr>
          <w:i/>
          <w:iCs/>
        </w:rPr>
        <w:t>Diagnostic and Clinical Care Guidelines for Primary Immunodeficiency Diseases</w:t>
      </w:r>
      <w:r w:rsidRPr="001B13E5">
        <w:t>. 3rd edition. Towson, MD: Immune Deficiency Foundation; 2015. http://primaryimmune.org/wp-content/uploads/2015/03/2015-Diagnostic-and-Clinical-Care-Guidelines-for-PI.pdf. Accessed May 7, 2024.</w:t>
      </w:r>
    </w:p>
    <w:p w:rsidRPr="001B13E5" w:rsidR="00D36467" w:rsidP="00D36467" w:rsidRDefault="00D36467" w14:paraId="56385F12" w14:textId="560F1C05">
      <w:pPr>
        <w:pStyle w:val="ReferenceOrdered"/>
      </w:pPr>
      <w:r w:rsidRPr="001B13E5">
        <w:t>NCCN Clinical Practice Guidelines in Oncology® Chronic Lymphocytic Leukemia/Small Lymphocytic Lymphoma (Version 3.2024). © 2024 National Comprehensive Cancer Network, Inc. https://www.nccn.org. Accessed May 7, 2024.</w:t>
      </w:r>
    </w:p>
    <w:p w:rsidRPr="001B13E5" w:rsidR="00D36467" w:rsidP="00D36467" w:rsidRDefault="00D36467" w14:paraId="4BA42B40" w14:textId="1CB2E162">
      <w:pPr>
        <w:pStyle w:val="ReferenceOrdered"/>
      </w:pPr>
      <w:r w:rsidRPr="001B13E5">
        <w:rPr>
          <w:lang w:val="nl-BE"/>
        </w:rPr>
        <w:t xml:space="preserve">Van den Bergh PY, Hadden RD, van Doorn PA, et al. </w:t>
      </w:r>
      <w:r w:rsidRPr="001B13E5">
        <w:t xml:space="preserve">European Federation of Neurological Societies/Peripheral Nerve Society guideline on management of chronic inflammatory demyelinating </w:t>
      </w:r>
      <w:r w:rsidRPr="001B13E5">
        <w:rPr>
          <w:rStyle w:val="highlight2"/>
          <w:sz w:val="20"/>
          <w:szCs w:val="20"/>
        </w:rPr>
        <w:t>polyradiculoneuropathy</w:t>
      </w:r>
      <w:r w:rsidRPr="001B13E5">
        <w:t xml:space="preserve">: report of a joint task force of the European Federation of Neurological Societies and the Peripheral Nerve Society - second revision. </w:t>
      </w:r>
      <w:r w:rsidRPr="001B13E5">
        <w:rPr>
          <w:i/>
          <w:iCs/>
        </w:rPr>
        <w:t>Eur J Neurol</w:t>
      </w:r>
      <w:r w:rsidRPr="001B13E5">
        <w:t>. 2021;28(11):3556-3583.</w:t>
      </w:r>
    </w:p>
    <w:p w:rsidRPr="001B13E5" w:rsidR="00D36467" w:rsidP="00D36467" w:rsidRDefault="00D36467" w14:paraId="741C1DCC" w14:textId="157D1FDB">
      <w:pPr>
        <w:pStyle w:val="ReferenceOrdered"/>
      </w:pPr>
      <w:r w:rsidRPr="001B13E5">
        <w:t xml:space="preserve">Joint Task Force of the EFNS and the PNS. European Federation of Neurological Societies/Peripheral Nerve Societies guideline on management of multifocal motor neuropathy. </w:t>
      </w:r>
      <w:r w:rsidRPr="001B13E5">
        <w:rPr>
          <w:i/>
          <w:iCs/>
        </w:rPr>
        <w:t xml:space="preserve">J </w:t>
      </w:r>
      <w:proofErr w:type="spellStart"/>
      <w:r w:rsidRPr="001B13E5">
        <w:rPr>
          <w:i/>
          <w:iCs/>
        </w:rPr>
        <w:t>Peripher</w:t>
      </w:r>
      <w:proofErr w:type="spellEnd"/>
      <w:r w:rsidRPr="001B13E5">
        <w:rPr>
          <w:i/>
          <w:iCs/>
        </w:rPr>
        <w:t xml:space="preserve"> </w:t>
      </w:r>
      <w:proofErr w:type="spellStart"/>
      <w:r w:rsidRPr="001B13E5">
        <w:rPr>
          <w:i/>
          <w:iCs/>
        </w:rPr>
        <w:t>Nerv</w:t>
      </w:r>
      <w:proofErr w:type="spellEnd"/>
      <w:r w:rsidRPr="001B13E5">
        <w:rPr>
          <w:i/>
          <w:iCs/>
        </w:rPr>
        <w:t xml:space="preserve"> Syst</w:t>
      </w:r>
      <w:r w:rsidRPr="001B13E5">
        <w:t>. 2010;15:295-301.</w:t>
      </w:r>
    </w:p>
    <w:p w:rsidRPr="001B13E5" w:rsidR="00D36467" w:rsidP="00D36467" w:rsidRDefault="00D36467" w14:paraId="75B01C5C" w14:textId="7C3BD152">
      <w:pPr>
        <w:pStyle w:val="ReferenceOrdered"/>
      </w:pPr>
      <w:r w:rsidRPr="001B13E5">
        <w:t xml:space="preserve">Olney RK, Lewis RA, Putnam TD, Campellone JV. Consensus criteria for the diagnosis of multifocal motor neuropathy. </w:t>
      </w:r>
      <w:r w:rsidRPr="001B13E5">
        <w:rPr>
          <w:i/>
          <w:iCs/>
        </w:rPr>
        <w:t>Muscle Nerve</w:t>
      </w:r>
      <w:r w:rsidRPr="001B13E5">
        <w:t>. 2003;27:117-121.</w:t>
      </w:r>
    </w:p>
    <w:p w:rsidRPr="001B13E5" w:rsidR="00D36467" w:rsidP="00D36467" w:rsidRDefault="00D36467" w14:paraId="003CDC01" w14:textId="1DDA42E8">
      <w:pPr>
        <w:pStyle w:val="ReferenceOrdered"/>
      </w:pPr>
      <w:proofErr w:type="spellStart"/>
      <w:r w:rsidRPr="001B13E5">
        <w:t>Dalakas</w:t>
      </w:r>
      <w:proofErr w:type="spellEnd"/>
      <w:r w:rsidRPr="001B13E5">
        <w:t xml:space="preserve"> M. Inflammatory muscle diseases. </w:t>
      </w:r>
      <w:r w:rsidRPr="001B13E5">
        <w:rPr>
          <w:i/>
          <w:iCs/>
        </w:rPr>
        <w:t>N Engl J Med</w:t>
      </w:r>
      <w:r w:rsidRPr="001B13E5">
        <w:t>. 2015;372(18):1734-1747.</w:t>
      </w:r>
    </w:p>
    <w:p w:rsidRPr="001B13E5" w:rsidR="00D36467" w:rsidP="00D36467" w:rsidRDefault="00D36467" w14:paraId="39D0B91A" w14:textId="77777777">
      <w:pPr>
        <w:pStyle w:val="ReferenceOrdered"/>
      </w:pPr>
      <w:bookmarkStart w:name="_Hlk106624299" w:id="11"/>
      <w:bookmarkStart w:name="OLE_LINK15" w:id="12"/>
      <w:r w:rsidRPr="001B13E5">
        <w:rPr>
          <w:lang w:val="de-AT"/>
        </w:rPr>
        <w:t xml:space="preserve">Neunert C, Terrell DR, Arnold DM, et al. </w:t>
      </w:r>
      <w:r w:rsidRPr="001B13E5">
        <w:t>American Society of Hematology 2019 guidelines for immune thrombocytopenia. Blood Adv. 2019;3(23):3829-3866</w:t>
      </w:r>
      <w:bookmarkEnd w:id="11"/>
      <w:r w:rsidRPr="001B13E5">
        <w:t>.</w:t>
      </w:r>
    </w:p>
    <w:p w:rsidRPr="001B13E5" w:rsidR="00D36467" w:rsidP="00D36467" w:rsidRDefault="00D36467" w14:paraId="1759F0C4" w14:textId="77777777">
      <w:pPr>
        <w:pStyle w:val="ReferenceOrdered"/>
      </w:pPr>
      <w:r w:rsidRPr="001B13E5">
        <w:t>Provan D, Arnold DM, Bussel JB, et al. Updated international consensus report on the investigation and management of primary immune thrombocytopenia. </w:t>
      </w:r>
      <w:r w:rsidRPr="001B13E5">
        <w:rPr>
          <w:i/>
          <w:iCs/>
        </w:rPr>
        <w:t>Blood Adv</w:t>
      </w:r>
      <w:r w:rsidRPr="001B13E5">
        <w:t> 2019;3(22): 3780–3817.</w:t>
      </w:r>
    </w:p>
    <w:p w:rsidRPr="001B13E5" w:rsidR="00D36467" w:rsidP="00D36467" w:rsidRDefault="00D36467" w14:paraId="70765AA7" w14:textId="77777777">
      <w:pPr>
        <w:pStyle w:val="ReferenceOrdered"/>
      </w:pPr>
      <w:r w:rsidRPr="001B13E5">
        <w:rPr>
          <w:lang w:val="it-IT"/>
        </w:rPr>
        <w:t xml:space="preserve">Shearer WT, Dunn E, Notarangelo LD, et al. </w:t>
      </w:r>
      <w:r w:rsidRPr="001B13E5">
        <w:t xml:space="preserve">Establishing diagnostic criteria for severe combined immunodeficiency disease (SCID), leaky SCID, and Omenn syndrome: the Primary Immune Deficiency Treatment Consortium experience. </w:t>
      </w:r>
      <w:r w:rsidRPr="001B13E5">
        <w:rPr>
          <w:i/>
          <w:iCs/>
        </w:rPr>
        <w:t>J Allergy Clin Immunol.</w:t>
      </w:r>
      <w:r w:rsidRPr="001B13E5">
        <w:t xml:space="preserve"> 2014;133(4):1092.</w:t>
      </w:r>
    </w:p>
    <w:p w:rsidRPr="001B13E5" w:rsidR="00D36467" w:rsidP="00D36467" w:rsidRDefault="00D36467" w14:paraId="0780B581" w14:textId="59458B88">
      <w:pPr>
        <w:pStyle w:val="ReferenceOrdered"/>
      </w:pPr>
      <w:r w:rsidRPr="001B13E5">
        <w:t>NCCN Clinical Practice Guidelines in Oncology® Management of Immunotherapy-Related Toxicities (Version 1.2024). © 2024 National Comprehensive Cancer Network, Inc. https://www.nccn.org. Accessed May 7, 2024.</w:t>
      </w:r>
    </w:p>
    <w:p w:rsidRPr="001B13E5" w:rsidR="00D36467" w:rsidP="00D36467" w:rsidRDefault="00D36467" w14:paraId="6FBFBAA7" w14:textId="77777777">
      <w:pPr>
        <w:pStyle w:val="ReferenceOrdered"/>
      </w:pPr>
      <w:r w:rsidRPr="001B13E5">
        <w:t xml:space="preserve">[HIVPeds]Working Group on Antiretroviral Therapy of the National Pediatric HIV Resource Center. Antiretroviral therapy and medical management of pediatric HIV infection. </w:t>
      </w:r>
      <w:r w:rsidRPr="001B13E5">
        <w:rPr>
          <w:i/>
          <w:iCs/>
        </w:rPr>
        <w:t>Pediatrics</w:t>
      </w:r>
      <w:r w:rsidRPr="001B13E5">
        <w:t>. 1998;102;1005-1063.</w:t>
      </w:r>
    </w:p>
    <w:p w:rsidRPr="001B13E5" w:rsidR="00D36467" w:rsidP="00D36467" w:rsidRDefault="00D36467" w14:paraId="296879A0" w14:textId="77777777">
      <w:pPr>
        <w:pStyle w:val="ReferenceOrdered"/>
      </w:pPr>
      <w:r w:rsidRPr="001B13E5">
        <w:t>Center for Medicare and Medicaid Services (CMS). Intravenous immune globulin for autoimmune mucocutaneous blistering diseases. Decision Memorandum. CPG-00109N. Baltimore, MD: CMS; January 22, 2002.</w:t>
      </w:r>
    </w:p>
    <w:p w:rsidRPr="001B13E5" w:rsidR="00D36467" w:rsidP="00D36467" w:rsidRDefault="00D36467" w14:paraId="280ECAC4" w14:textId="77777777">
      <w:pPr>
        <w:pStyle w:val="ReferenceOrdered"/>
      </w:pPr>
      <w:r w:rsidRPr="001B13E5">
        <w:t xml:space="preserve">Sawinski D, Goral S. BK virus infection: An update on diagnosis and treatment. </w:t>
      </w:r>
      <w:r w:rsidRPr="001B13E5">
        <w:rPr>
          <w:i/>
          <w:iCs/>
        </w:rPr>
        <w:t>Nephrol Dial Transplant</w:t>
      </w:r>
      <w:r w:rsidRPr="001B13E5">
        <w:t>. 2015;30(2):209-217.</w:t>
      </w:r>
    </w:p>
    <w:p w:rsidRPr="001B13E5" w:rsidR="00D36467" w:rsidP="00D36467" w:rsidRDefault="00D36467" w14:paraId="5A857A4C" w14:textId="77777777">
      <w:pPr>
        <w:pStyle w:val="ReferenceOrdered"/>
      </w:pPr>
      <w:r w:rsidRPr="001B13E5">
        <w:t xml:space="preserve">Groh M, </w:t>
      </w:r>
      <w:proofErr w:type="spellStart"/>
      <w:r w:rsidRPr="001B13E5">
        <w:t>Pagnoux</w:t>
      </w:r>
      <w:proofErr w:type="spellEnd"/>
      <w:r w:rsidRPr="001B13E5">
        <w:t xml:space="preserve"> C, </w:t>
      </w:r>
      <w:proofErr w:type="spellStart"/>
      <w:r w:rsidRPr="001B13E5">
        <w:t>Baldini</w:t>
      </w:r>
      <w:proofErr w:type="spellEnd"/>
      <w:r w:rsidRPr="001B13E5">
        <w:t xml:space="preserve"> C, et al. Eosinophilic granulomatosis with polyangiitis (Churg–Strauss) (EGPA)Consensus Task Force recommendations for evaluation and management. </w:t>
      </w:r>
      <w:r w:rsidRPr="001B13E5">
        <w:rPr>
          <w:i/>
          <w:iCs/>
        </w:rPr>
        <w:t>Eur J Intern Med</w:t>
      </w:r>
      <w:r w:rsidRPr="001B13E5">
        <w:t>. 2015;26(7):545-553.</w:t>
      </w:r>
    </w:p>
    <w:p w:rsidRPr="001B13E5" w:rsidR="00D36467" w:rsidP="00D36467" w:rsidRDefault="00D36467" w14:paraId="4DB19F2F" w14:textId="77777777">
      <w:pPr>
        <w:pStyle w:val="ReferenceOrdered"/>
      </w:pPr>
      <w:r w:rsidRPr="001B13E5">
        <w:t xml:space="preserve">McKinney RE, Katz SL, Wilfert CM. Chronic enteroviral meningoencephalitis in agammaglobulinemic patients. </w:t>
      </w:r>
      <w:r w:rsidRPr="001B13E5">
        <w:rPr>
          <w:i/>
          <w:iCs/>
        </w:rPr>
        <w:t>Rev Infect Dis</w:t>
      </w:r>
      <w:r w:rsidRPr="001B13E5">
        <w:t>. 1987;9(2):334-56.</w:t>
      </w:r>
    </w:p>
    <w:p w:rsidRPr="001B13E5" w:rsidR="00D36467" w:rsidP="00D36467" w:rsidRDefault="00D36467" w14:paraId="3234A54B" w14:textId="5166590C">
      <w:pPr>
        <w:pStyle w:val="ReferenceOrdered"/>
      </w:pPr>
      <w:r w:rsidRPr="001B13E5">
        <w:t>Sen, E.S., Clarke, SL, Ramanan, A.V.</w:t>
      </w:r>
      <w:r w:rsidRPr="001B13E5" w:rsidR="00A833EF">
        <w:t xml:space="preserve"> </w:t>
      </w:r>
      <w:r w:rsidRPr="001B13E5">
        <w:t xml:space="preserve">Macrophage Activation Syndrome. </w:t>
      </w:r>
      <w:r w:rsidRPr="001B13E5">
        <w:rPr>
          <w:i/>
          <w:iCs/>
        </w:rPr>
        <w:t xml:space="preserve">Indian J </w:t>
      </w:r>
      <w:proofErr w:type="spellStart"/>
      <w:r w:rsidRPr="001B13E5">
        <w:rPr>
          <w:i/>
          <w:iCs/>
        </w:rPr>
        <w:t>Pediatr</w:t>
      </w:r>
      <w:proofErr w:type="spellEnd"/>
      <w:r w:rsidRPr="001B13E5">
        <w:rPr>
          <w:i/>
          <w:iCs/>
        </w:rPr>
        <w:t>.</w:t>
      </w:r>
      <w:r w:rsidRPr="001B13E5">
        <w:t xml:space="preserve"> 2016;83(3): 248-53.</w:t>
      </w:r>
    </w:p>
    <w:p w:rsidR="00B91DC8" w:rsidP="00D36467" w:rsidRDefault="00D36467" w14:paraId="248A0519" w14:textId="77777777">
      <w:pPr>
        <w:pStyle w:val="ReferenceOrdered"/>
      </w:pPr>
      <w:r w:rsidRPr="001B13E5">
        <w:t xml:space="preserve">Kimata H. High-dose intravenous </w:t>
      </w:r>
      <w:proofErr w:type="spellStart"/>
      <w:r w:rsidRPr="001B13E5">
        <w:t>gammaglobulin</w:t>
      </w:r>
      <w:proofErr w:type="spellEnd"/>
      <w:r w:rsidRPr="001B13E5">
        <w:t xml:space="preserve"> treatment of </w:t>
      </w:r>
      <w:proofErr w:type="spellStart"/>
      <w:r w:rsidRPr="001B13E5">
        <w:t>hyperimmunoglobulinemia</w:t>
      </w:r>
      <w:proofErr w:type="spellEnd"/>
      <w:r w:rsidRPr="001B13E5">
        <w:t xml:space="preserve"> E syndrome. </w:t>
      </w:r>
      <w:r w:rsidRPr="001B13E5">
        <w:rPr>
          <w:i/>
          <w:iCs/>
        </w:rPr>
        <w:t>J Allergy Clin Immunol</w:t>
      </w:r>
      <w:r w:rsidRPr="001B13E5">
        <w:t>. 1995;95:771-774.</w:t>
      </w:r>
    </w:p>
    <w:p w:rsidRPr="001B13E5" w:rsidR="00D36467" w:rsidP="00D36467" w:rsidRDefault="00D36467" w14:paraId="6719AB6D" w14:textId="77777777">
      <w:pPr>
        <w:pStyle w:val="ReferenceOrdered"/>
      </w:pPr>
      <w:r w:rsidRPr="001B13E5">
        <w:t>Yescarta [package insert]. Santa Monica, CA: Kite Pharma; April 2024.</w:t>
      </w:r>
    </w:p>
    <w:p w:rsidRPr="001B13E5" w:rsidR="00D36467" w:rsidP="00D36467" w:rsidRDefault="00D36467" w14:paraId="5ED25C12" w14:textId="77777777">
      <w:pPr>
        <w:pStyle w:val="ReferenceOrdered"/>
      </w:pPr>
      <w:r w:rsidRPr="001B13E5">
        <w:t>Kymriah [package insert]. East Hanover, NJ: Novartis Pharmaceuticals Corporation; April 2024.</w:t>
      </w:r>
    </w:p>
    <w:p w:rsidRPr="001B13E5" w:rsidR="00D36467" w:rsidP="00D36467" w:rsidRDefault="00D36467" w14:paraId="472318D2" w14:textId="77777777">
      <w:pPr>
        <w:pStyle w:val="ReferenceOrdered"/>
      </w:pPr>
      <w:r w:rsidRPr="001B13E5">
        <w:t>Lexi-Drugs. Lexicomp. Wolters Kluwer Health, Inc. Riverwoods, IL. Available at https://www.online.lexi.com [available with subscription]. Accessed May 7, 2024.</w:t>
      </w:r>
    </w:p>
    <w:p w:rsidRPr="001B13E5" w:rsidR="00D36467" w:rsidP="00D36467" w:rsidRDefault="00330D22" w14:paraId="287C1AEA" w14:textId="37CE7BBE">
      <w:pPr>
        <w:pStyle w:val="ReferenceOrdered"/>
      </w:pPr>
      <w:proofErr w:type="spellStart"/>
      <w:r w:rsidRPr="00330D22">
        <w:t>Lopriore</w:t>
      </w:r>
      <w:proofErr w:type="spellEnd"/>
      <w:r w:rsidRPr="00330D22">
        <w:t xml:space="preserve"> E., </w:t>
      </w:r>
      <w:proofErr w:type="spellStart"/>
      <w:r w:rsidRPr="00330D22">
        <w:t>Mearin</w:t>
      </w:r>
      <w:proofErr w:type="spellEnd"/>
      <w:r w:rsidRPr="00330D22">
        <w:t xml:space="preserve"> M.L., </w:t>
      </w:r>
      <w:proofErr w:type="spellStart"/>
      <w:r w:rsidRPr="00330D22">
        <w:t>Oepkes</w:t>
      </w:r>
      <w:proofErr w:type="spellEnd"/>
      <w:r w:rsidRPr="00330D22">
        <w:t xml:space="preserve"> D., </w:t>
      </w:r>
      <w:proofErr w:type="spellStart"/>
      <w:r w:rsidRPr="00330D22">
        <w:t>Devlieger</w:t>
      </w:r>
      <w:proofErr w:type="spellEnd"/>
      <w:r w:rsidRPr="00330D22">
        <w:t xml:space="preserve"> R., </w:t>
      </w:r>
      <w:proofErr w:type="spellStart"/>
      <w:r w:rsidRPr="00330D22">
        <w:t>Whitington</w:t>
      </w:r>
      <w:proofErr w:type="spellEnd"/>
      <w:r w:rsidRPr="00330D22">
        <w:t xml:space="preserve"> P.F. Neonatal hemochromatosis: Management, outcome, and prevention. </w:t>
      </w:r>
      <w:proofErr w:type="spellStart"/>
      <w:r w:rsidRPr="00330D22">
        <w:t>Prenat</w:t>
      </w:r>
      <w:proofErr w:type="spellEnd"/>
      <w:r w:rsidRPr="00330D22">
        <w:t xml:space="preserve">. </w:t>
      </w:r>
      <w:proofErr w:type="spellStart"/>
      <w:r w:rsidRPr="00330D22">
        <w:t>Diagn</w:t>
      </w:r>
      <w:proofErr w:type="spellEnd"/>
      <w:r w:rsidRPr="00330D22">
        <w:t>. 2013;33:1221–1225</w:t>
      </w:r>
      <w:r w:rsidRPr="001B13E5" w:rsidR="00D36467">
        <w:t>.</w:t>
      </w:r>
    </w:p>
    <w:p w:rsidRPr="001B13E5" w:rsidR="00D36467" w:rsidP="00D36467" w:rsidRDefault="00D36467" w14:paraId="3C2148B1" w14:textId="77777777">
      <w:pPr>
        <w:pStyle w:val="ReferenceOrdered"/>
      </w:pPr>
      <w:r w:rsidRPr="001B13E5">
        <w:rPr>
          <w:lang w:val="it-IT"/>
        </w:rPr>
        <w:t xml:space="preserve">Tate ED, Pranzatelli MR, Verhulst SJ, et al. </w:t>
      </w:r>
      <w:r w:rsidRPr="001B13E5">
        <w:t>Active comparator-controlled rater-blinded study of corticotropin-based immunotherapies for opsoclonus-myoclonus syndrome. </w:t>
      </w:r>
      <w:r w:rsidRPr="001B13E5">
        <w:rPr>
          <w:rStyle w:val="Emphasis"/>
          <w:sz w:val="20"/>
          <w:szCs w:val="20"/>
        </w:rPr>
        <w:t>J Child Neurol</w:t>
      </w:r>
      <w:r w:rsidRPr="001B13E5">
        <w:t>. 2012; 27:875-884.</w:t>
      </w:r>
    </w:p>
    <w:p w:rsidRPr="001B13E5" w:rsidR="00D36467" w:rsidP="00D36467" w:rsidRDefault="00D36467" w14:paraId="63EE854A" w14:textId="77777777">
      <w:pPr>
        <w:pStyle w:val="ReferenceOrdered"/>
      </w:pPr>
      <w:r w:rsidRPr="001B13E5">
        <w:t xml:space="preserve">Mutch LS, Johnston DL. Late presentation of opsoclonus-myoclonus-ataxia syndrome in a child with stage 4S neuroblastoma. </w:t>
      </w:r>
      <w:r w:rsidRPr="001B13E5">
        <w:rPr>
          <w:i/>
          <w:iCs/>
        </w:rPr>
        <w:t xml:space="preserve">J </w:t>
      </w:r>
      <w:proofErr w:type="spellStart"/>
      <w:r w:rsidRPr="001B13E5">
        <w:rPr>
          <w:i/>
          <w:iCs/>
        </w:rPr>
        <w:t>Pediatr</w:t>
      </w:r>
      <w:proofErr w:type="spellEnd"/>
      <w:r w:rsidRPr="001B13E5">
        <w:rPr>
          <w:i/>
          <w:iCs/>
        </w:rPr>
        <w:t xml:space="preserve"> </w:t>
      </w:r>
      <w:proofErr w:type="spellStart"/>
      <w:r w:rsidRPr="001B13E5">
        <w:rPr>
          <w:i/>
          <w:iCs/>
        </w:rPr>
        <w:t>Hematol</w:t>
      </w:r>
      <w:proofErr w:type="spellEnd"/>
      <w:r w:rsidRPr="001B13E5">
        <w:rPr>
          <w:i/>
          <w:iCs/>
        </w:rPr>
        <w:t xml:space="preserve"> Oncol</w:t>
      </w:r>
      <w:r w:rsidRPr="001B13E5">
        <w:t>. 2005;27(6):341-343.</w:t>
      </w:r>
    </w:p>
    <w:p w:rsidRPr="001B13E5" w:rsidR="00D36467" w:rsidP="00D36467" w:rsidRDefault="00D36467" w14:paraId="507C63AA" w14:textId="77777777">
      <w:pPr>
        <w:pStyle w:val="ReferenceOrdered"/>
      </w:pPr>
      <w:proofErr w:type="spellStart"/>
      <w:r w:rsidRPr="001B13E5">
        <w:rPr>
          <w:lang w:val="fr-FR"/>
        </w:rPr>
        <w:t>Sonnenday</w:t>
      </w:r>
      <w:proofErr w:type="spellEnd"/>
      <w:r w:rsidRPr="001B13E5">
        <w:rPr>
          <w:lang w:val="fr-FR"/>
        </w:rPr>
        <w:t xml:space="preserve"> CJ, </w:t>
      </w:r>
      <w:proofErr w:type="spellStart"/>
      <w:r w:rsidRPr="001B13E5">
        <w:rPr>
          <w:lang w:val="fr-FR"/>
        </w:rPr>
        <w:t>Ratner</w:t>
      </w:r>
      <w:proofErr w:type="spellEnd"/>
      <w:r w:rsidRPr="001B13E5">
        <w:rPr>
          <w:lang w:val="fr-FR"/>
        </w:rPr>
        <w:t xml:space="preserve"> LE, Zachary AA, et al. </w:t>
      </w:r>
      <w:r w:rsidRPr="001B13E5">
        <w:t xml:space="preserve">Preemptive therapy with plasmapheresis/intravenous immunoglobulin allows successful live donor renal transplantation in patients with a positive cross-match. </w:t>
      </w:r>
      <w:r w:rsidRPr="001B13E5">
        <w:rPr>
          <w:i/>
          <w:iCs/>
        </w:rPr>
        <w:t>Transplant Proc</w:t>
      </w:r>
      <w:r w:rsidRPr="001B13E5">
        <w:t>. 2002;34(5):1614-1616.</w:t>
      </w:r>
    </w:p>
    <w:p w:rsidRPr="001B13E5" w:rsidR="00D36467" w:rsidP="00D36467" w:rsidRDefault="00D36467" w14:paraId="4F084D4B" w14:textId="50520F82">
      <w:pPr>
        <w:pStyle w:val="ReferenceOrdered"/>
      </w:pPr>
      <w:proofErr w:type="spellStart"/>
      <w:r w:rsidRPr="001B13E5">
        <w:t>Razonable</w:t>
      </w:r>
      <w:proofErr w:type="spellEnd"/>
      <w:r w:rsidRPr="001B13E5">
        <w:t xml:space="preserve"> RR, </w:t>
      </w:r>
      <w:proofErr w:type="spellStart"/>
      <w:r w:rsidRPr="001B13E5">
        <w:t>Humar</w:t>
      </w:r>
      <w:proofErr w:type="spellEnd"/>
      <w:r w:rsidRPr="001B13E5">
        <w:t xml:space="preserve"> A. Cytomegalovirus in Solid Organ Transplantation. </w:t>
      </w:r>
      <w:r w:rsidRPr="001B13E5">
        <w:rPr>
          <w:i/>
          <w:iCs/>
        </w:rPr>
        <w:t>Am J Transplant</w:t>
      </w:r>
      <w:r w:rsidRPr="001B13E5">
        <w:t>. 2013;13:93-106.</w:t>
      </w:r>
    </w:p>
    <w:p w:rsidRPr="001B13E5" w:rsidR="00D36467" w:rsidP="00D36467" w:rsidRDefault="00D36467" w14:paraId="0C8A1C9A" w14:textId="77777777">
      <w:pPr>
        <w:pStyle w:val="ReferenceOrdered"/>
      </w:pPr>
      <w:r w:rsidRPr="001B13E5">
        <w:t xml:space="preserve">Jordan SC, Toyoda M, Kahwaji J, et al. Clinical Aspects of Intravenous Immunoglobulin Use in Solid Organ Transplant Recipients. </w:t>
      </w:r>
      <w:r w:rsidRPr="001B13E5">
        <w:rPr>
          <w:i/>
          <w:iCs/>
        </w:rPr>
        <w:t>Am J Transplant</w:t>
      </w:r>
      <w:r w:rsidRPr="001B13E5">
        <w:t>. 2011;11:196-202</w:t>
      </w:r>
    </w:p>
    <w:p w:rsidRPr="001B13E5" w:rsidR="00D36467" w:rsidP="00D36467" w:rsidRDefault="00D36467" w14:paraId="2977F811" w14:textId="77777777">
      <w:pPr>
        <w:pStyle w:val="ReferenceOrdered"/>
      </w:pPr>
      <w:proofErr w:type="spellStart"/>
      <w:r w:rsidRPr="001B13E5">
        <w:rPr>
          <w:lang w:val="fr-FR"/>
        </w:rPr>
        <w:t>Kimberlin</w:t>
      </w:r>
      <w:proofErr w:type="spellEnd"/>
      <w:r w:rsidRPr="001B13E5">
        <w:rPr>
          <w:lang w:val="fr-FR"/>
        </w:rPr>
        <w:t xml:space="preserve"> DW, Brady MT, Jackson MA, et al. </w:t>
      </w:r>
      <w:r w:rsidRPr="001B13E5">
        <w:t>Staphylococcus aureus. American Academy of Pediatrics. Red Book: 2018 Report of the Committee on Infectious Diseases. 2018:733-746</w:t>
      </w:r>
    </w:p>
    <w:p w:rsidRPr="001B13E5" w:rsidR="00D36467" w:rsidP="00D36467" w:rsidRDefault="00D36467" w14:paraId="7A747FE3" w14:textId="77777777">
      <w:pPr>
        <w:pStyle w:val="ReferenceOrdered"/>
      </w:pPr>
      <w:r w:rsidRPr="001B13E5">
        <w:t xml:space="preserve">Gordon C, Amissah-Arthur MB, Gayed M, et al. British Society for Rheumatology guideline on management of systemic lupus erythematosus in adults. </w:t>
      </w:r>
      <w:r w:rsidRPr="001B13E5">
        <w:rPr>
          <w:i/>
          <w:iCs/>
        </w:rPr>
        <w:t>Rheumatology (Oxford).</w:t>
      </w:r>
      <w:r w:rsidRPr="001B13E5">
        <w:t xml:space="preserve"> 2018;57:e1-45.</w:t>
      </w:r>
    </w:p>
    <w:p w:rsidRPr="001B13E5" w:rsidR="00D36467" w:rsidP="00D36467" w:rsidRDefault="00D36467" w14:paraId="625B0DE4" w14:textId="77777777">
      <w:pPr>
        <w:pStyle w:val="ReferenceOrdered"/>
      </w:pPr>
      <w:bookmarkStart w:name="_Hlk74743643" w:id="13"/>
      <w:r w:rsidRPr="001B13E5">
        <w:t>Abecma [package insert]. Summit, NJ: Celgene Corporation; April 2024.</w:t>
      </w:r>
    </w:p>
    <w:p w:rsidRPr="001B13E5" w:rsidR="00D36467" w:rsidP="00D36467" w:rsidRDefault="00D36467" w14:paraId="5A30C95B" w14:textId="7729CD3C">
      <w:pPr>
        <w:pStyle w:val="ReferenceOrdered"/>
      </w:pPr>
      <w:r w:rsidRPr="001B13E5">
        <w:t>Alyglo [package insert]. Teaneck, NJ: GC Biopharma USA, Inc.; December 2023.</w:t>
      </w:r>
    </w:p>
    <w:p w:rsidR="00FF66BF" w:rsidP="00D36467" w:rsidRDefault="00D36467" w14:paraId="26E25A0F" w14:textId="3489B7B8">
      <w:pPr>
        <w:pStyle w:val="ReferenceOrdered"/>
      </w:pPr>
      <w:r w:rsidRPr="001B13E5">
        <w:rPr>
          <w:lang w:val="fr-FR"/>
        </w:rPr>
        <w:t xml:space="preserve">Illinois </w:t>
      </w:r>
      <w:proofErr w:type="spellStart"/>
      <w:r w:rsidRPr="001B13E5">
        <w:rPr>
          <w:lang w:val="fr-FR"/>
        </w:rPr>
        <w:t>Statutes</w:t>
      </w:r>
      <w:proofErr w:type="spellEnd"/>
      <w:r w:rsidRPr="001B13E5">
        <w:rPr>
          <w:lang w:val="fr-FR"/>
        </w:rPr>
        <w:t xml:space="preserve"> </w:t>
      </w:r>
      <w:proofErr w:type="spellStart"/>
      <w:r w:rsidRPr="001B13E5">
        <w:rPr>
          <w:lang w:val="fr-FR"/>
        </w:rPr>
        <w:t>Chapter</w:t>
      </w:r>
      <w:proofErr w:type="spellEnd"/>
      <w:r w:rsidRPr="001B13E5">
        <w:rPr>
          <w:lang w:val="fr-FR"/>
        </w:rPr>
        <w:t xml:space="preserve"> 215. </w:t>
      </w:r>
      <w:proofErr w:type="spellStart"/>
      <w:r w:rsidRPr="001B13E5">
        <w:rPr>
          <w:lang w:val="fr-FR"/>
        </w:rPr>
        <w:t>Insurance</w:t>
      </w:r>
      <w:proofErr w:type="spellEnd"/>
      <w:r w:rsidRPr="001B13E5">
        <w:rPr>
          <w:lang w:val="fr-FR"/>
        </w:rPr>
        <w:t xml:space="preserve"> § 5/356z.24. </w:t>
      </w:r>
      <w:r w:rsidRPr="001B13E5">
        <w:t xml:space="preserve">Immune gamma globulin therapy: </w:t>
      </w:r>
      <w:bookmarkEnd w:id="12"/>
      <w:bookmarkEnd w:id="13"/>
      <w:r w:rsidRPr="00132D72" w:rsidR="00132D72">
        <w:t>https://www.ilga.gov/legislation/ilcs/documents/021500050K356z.24.htm</w:t>
      </w:r>
    </w:p>
    <w:p w:rsidR="00132D72" w:rsidP="00132D72" w:rsidRDefault="00132D72" w14:paraId="16EE2C66" w14:textId="46C32DB0">
      <w:pPr>
        <w:pStyle w:val="ReferenceOrdered"/>
      </w:pPr>
      <w:proofErr w:type="spellStart"/>
      <w:r>
        <w:t>Yimmugo</w:t>
      </w:r>
      <w:proofErr w:type="spellEnd"/>
      <w:r>
        <w:t xml:space="preserve"> [package insert]. </w:t>
      </w:r>
      <w:proofErr w:type="spellStart"/>
      <w:r>
        <w:t>Dreieich</w:t>
      </w:r>
      <w:proofErr w:type="spellEnd"/>
      <w:r>
        <w:t>, Germany: Biotest AG; June 2024.</w:t>
      </w:r>
    </w:p>
    <w:p w:rsidRPr="001B13E5" w:rsidR="008108AD" w:rsidP="00275429" w:rsidRDefault="008108AD" w14:paraId="4D4F31CC" w14:textId="4BCC0041">
      <w:pPr>
        <w:pStyle w:val="BodyText"/>
        <w:rPr>
          <w:noProof/>
        </w:rPr>
      </w:pPr>
    </w:p>
    <w:sectPr w:rsidRPr="001B13E5" w:rsidR="008108AD" w:rsidSect="00AA1E6A">
      <w:headerReference w:type="first" r:id="rId15"/>
      <w:type w:val="continuous"/>
      <w:pgSz w:w="12240" w:h="15840" w:orient="portrait"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90D0D" w:rsidRDefault="00290D0D" w14:paraId="70ABC4AF" w14:textId="77777777">
      <w:r>
        <w:separator/>
      </w:r>
    </w:p>
  </w:endnote>
  <w:endnote w:type="continuationSeparator" w:id="0">
    <w:p w:rsidR="00290D0D" w:rsidRDefault="00290D0D" w14:paraId="48C572D7" w14:textId="77777777">
      <w:r>
        <w:continuationSeparator/>
      </w:r>
    </w:p>
  </w:endnote>
  <w:endnote w:type="continuationNotice" w:id="1">
    <w:p w:rsidR="00290D0D" w:rsidRDefault="00290D0D" w14:paraId="2074EE0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C47B6" w:rsidR="00C36B72" w:rsidP="00C36B72" w:rsidRDefault="00C36B72" w14:paraId="08E55A8C" w14:textId="52A5F8D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4F4A04" w:rsidR="004F4A04">
      <w:rPr>
        <w:rFonts w:cs="Arial"/>
        <w:noProof/>
        <w:sz w:val="16"/>
        <w:szCs w:val="16"/>
      </w:rPr>
      <w:t xml:space="preserve">IVIG SGM 2042-A </w:t>
    </w:r>
    <w:r w:rsidR="00C02802">
      <w:rPr>
        <w:rFonts w:cs="Arial"/>
        <w:noProof/>
        <w:sz w:val="16"/>
        <w:szCs w:val="16"/>
      </w:rPr>
      <w:t>P</w:t>
    </w:r>
    <w:r w:rsidRPr="004F4A04" w:rsidR="004F4A04">
      <w:rPr>
        <w:rFonts w:cs="Arial"/>
        <w:noProof/>
        <w:sz w:val="16"/>
        <w:szCs w:val="16"/>
      </w:rPr>
      <w:t>2024</w:t>
    </w:r>
    <w:r w:rsidR="001A5139">
      <w:rPr>
        <w:rFonts w:cs="Arial"/>
        <w:noProof/>
        <w:sz w:val="16"/>
        <w:szCs w:val="16"/>
      </w:rPr>
      <w:t>a</w:t>
    </w:r>
    <w:r w:rsidR="004F4A0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r>
    <w:r w:rsidRPr="00EC47B6">
      <w:rPr>
        <w:rFonts w:cs="Arial"/>
        <w:snapToGrid w:val="0"/>
        <w:color w:val="000000"/>
        <w:sz w:val="16"/>
      </w:rPr>
      <w:t>© 202</w:t>
    </w:r>
    <w:r w:rsidRPr="00EC47B6" w:rsidR="008B6DBE">
      <w:rPr>
        <w:rFonts w:cs="Arial"/>
        <w:snapToGrid w:val="0"/>
        <w:color w:val="000000"/>
        <w:sz w:val="16"/>
      </w:rPr>
      <w:t>4</w:t>
    </w:r>
    <w:r w:rsidRPr="00EC47B6">
      <w:rPr>
        <w:rFonts w:cs="Arial"/>
        <w:snapToGrid w:val="0"/>
        <w:color w:val="000000"/>
        <w:sz w:val="16"/>
      </w:rPr>
      <w:t xml:space="preserve"> CVS Caremark. All rights reserved.</w:t>
    </w:r>
  </w:p>
  <w:p w:rsidRPr="00EC47B6" w:rsidR="00C36B72" w:rsidP="00C36B72" w:rsidRDefault="00C36B72" w14:paraId="61CF5924" w14:textId="47B3918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rsidRPr="00AA1E6A" w:rsidR="00F75C81" w:rsidP="00275429" w:rsidRDefault="00C36B72" w14:paraId="0DF8DEBC" w14:textId="49F0EF4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C47B6" w:rsidR="00F50D98" w:rsidP="00F50D98" w:rsidRDefault="00F50D98" w14:paraId="6339C177" w14:textId="0259B0BE">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4F4A04" w:rsidR="004F4A04">
      <w:rPr>
        <w:rFonts w:cs="Arial"/>
        <w:noProof/>
        <w:sz w:val="16"/>
        <w:szCs w:val="16"/>
      </w:rPr>
      <w:t xml:space="preserve">IVIG SGM 2042-A </w:t>
    </w:r>
    <w:r w:rsidR="00C02802">
      <w:rPr>
        <w:rFonts w:cs="Arial"/>
        <w:noProof/>
        <w:sz w:val="16"/>
        <w:szCs w:val="16"/>
      </w:rPr>
      <w:t>P</w:t>
    </w:r>
    <w:r w:rsidRPr="004F4A04" w:rsidR="004F4A04">
      <w:rPr>
        <w:rFonts w:cs="Arial"/>
        <w:noProof/>
        <w:sz w:val="16"/>
        <w:szCs w:val="16"/>
      </w:rPr>
      <w:t>2024</w:t>
    </w:r>
    <w:r w:rsidR="001A5139">
      <w:rPr>
        <w:rFonts w:cs="Arial"/>
        <w:noProof/>
        <w:sz w:val="16"/>
        <w:szCs w:val="16"/>
      </w:rPr>
      <w:t>a</w:t>
    </w:r>
    <w:r w:rsidR="004F4A04">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r>
    <w:r w:rsidRPr="00EC47B6">
      <w:rPr>
        <w:rFonts w:cs="Arial"/>
        <w:snapToGrid w:val="0"/>
        <w:color w:val="000000"/>
        <w:sz w:val="16"/>
      </w:rPr>
      <w:t>© 202</w:t>
    </w:r>
    <w:r w:rsidRPr="00EC47B6" w:rsidR="00D74279">
      <w:rPr>
        <w:rFonts w:cs="Arial"/>
        <w:snapToGrid w:val="0"/>
        <w:color w:val="000000"/>
        <w:sz w:val="16"/>
      </w:rPr>
      <w:t>4</w:t>
    </w:r>
    <w:r w:rsidRPr="00EC47B6">
      <w:rPr>
        <w:rFonts w:cs="Arial"/>
        <w:snapToGrid w:val="0"/>
        <w:color w:val="000000"/>
        <w:sz w:val="16"/>
      </w:rPr>
      <w:t xml:space="preserve"> CVS Caremark. All rights reserved.</w:t>
    </w:r>
  </w:p>
  <w:p w:rsidRPr="00EC47B6" w:rsidR="00F50D98" w:rsidP="00F50D98" w:rsidRDefault="00F50D98" w14:paraId="39BFE579" w14:textId="5F0B01C4">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rsidRPr="00F50D98" w:rsidR="00ED04EC" w:rsidP="00275429" w:rsidRDefault="00F50D98" w14:paraId="64F317B8" w14:textId="71234C5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90D0D" w:rsidRDefault="00290D0D" w14:paraId="6E4B4BE6" w14:textId="77777777">
      <w:r>
        <w:separator/>
      </w:r>
    </w:p>
  </w:footnote>
  <w:footnote w:type="continuationSeparator" w:id="0">
    <w:p w:rsidR="00290D0D" w:rsidRDefault="00290D0D" w14:paraId="2B472588" w14:textId="77777777">
      <w:r>
        <w:continuationSeparator/>
      </w:r>
    </w:p>
  </w:footnote>
  <w:footnote w:type="continuationNotice" w:id="1">
    <w:p w:rsidR="00290D0D" w:rsidRDefault="00290D0D" w14:paraId="014E5C1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Pr="00ED04EC" w:rsidR="00ED04EC" w14:paraId="16262E63" w14:textId="77777777">
      <w:trPr>
        <w:trHeight w:val="144"/>
        <w:jc w:val="right"/>
      </w:trPr>
      <w:tc>
        <w:tcPr>
          <w:tcW w:w="1854" w:type="dxa"/>
          <w:hideMark/>
        </w:tcPr>
        <w:p w:rsidRPr="00AA1E6A" w:rsidR="00ED04EC" w:rsidP="00165427" w:rsidRDefault="00ED04EC" w14:paraId="18F550B7" w14:textId="77777777">
          <w:pPr>
            <w:pStyle w:val="RefTableData"/>
          </w:pPr>
          <w:r w:rsidRPr="00AA1E6A">
            <w:t>Reference number(s)</w:t>
          </w:r>
        </w:p>
      </w:tc>
    </w:tr>
    <w:tr w:rsidRPr="00ED04EC" w:rsidR="00ED04EC" w14:paraId="703C6588" w14:textId="77777777">
      <w:trPr>
        <w:trHeight w:val="378"/>
        <w:jc w:val="right"/>
      </w:trPr>
      <w:tc>
        <w:tcPr>
          <w:tcW w:w="1854" w:type="dxa"/>
          <w:hideMark/>
        </w:tcPr>
        <w:p w:rsidRPr="004C7F1D" w:rsidR="00ED04EC" w:rsidP="00165427" w:rsidRDefault="00D36467" w14:paraId="51CE3E64" w14:textId="23A39EED">
          <w:pPr>
            <w:pStyle w:val="RefTableData"/>
          </w:pPr>
          <w:r>
            <w:t>2042-A</w:t>
          </w:r>
        </w:p>
      </w:tc>
    </w:tr>
  </w:tbl>
  <w:p w:rsidRPr="00AA1E6A" w:rsidR="00ED04EC" w:rsidP="00B02279" w:rsidRDefault="00ED04EC" w14:paraId="0D5ACCC2" w14:textId="462A1075">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Pr="00ED04EC" w:rsidR="00165427" w14:paraId="73659D78" w14:textId="77777777">
      <w:trPr>
        <w:trHeight w:val="144"/>
        <w:jc w:val="right"/>
      </w:trPr>
      <w:tc>
        <w:tcPr>
          <w:tcW w:w="1854" w:type="dxa"/>
          <w:hideMark/>
        </w:tcPr>
        <w:p w:rsidRPr="00AA1E6A" w:rsidR="00165427" w:rsidP="00165427" w:rsidRDefault="00165427" w14:paraId="76F01514" w14:textId="77777777">
          <w:pPr>
            <w:pStyle w:val="RefTableData"/>
          </w:pPr>
          <w:r w:rsidRPr="00AA1E6A">
            <w:t>Reference number(s)</w:t>
          </w:r>
        </w:p>
      </w:tc>
    </w:tr>
    <w:tr w:rsidRPr="00ED04EC" w:rsidR="00165427" w14:paraId="4EA27769" w14:textId="77777777">
      <w:trPr>
        <w:trHeight w:val="378"/>
        <w:jc w:val="right"/>
      </w:trPr>
      <w:tc>
        <w:tcPr>
          <w:tcW w:w="1854" w:type="dxa"/>
          <w:hideMark/>
        </w:tcPr>
        <w:p w:rsidRPr="004C7F1D" w:rsidR="00165427" w:rsidP="00165427" w:rsidRDefault="00165427" w14:paraId="1C56F284" w14:textId="77777777">
          <w:pPr>
            <w:pStyle w:val="RefTableData"/>
          </w:pPr>
          <w:r>
            <w:t>2042-A</w:t>
          </w:r>
        </w:p>
      </w:tc>
    </w:tr>
  </w:tbl>
  <w:p w:rsidRPr="00165427" w:rsidR="00165427" w:rsidRDefault="00165427" w14:paraId="406828C0" w14:textId="77777777">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1816216"/>
    <w:multiLevelType w:val="hybridMultilevel"/>
    <w:tmpl w:val="B316CAE4"/>
    <w:lvl w:ilvl="0" w:tplc="0090D572">
      <w:start w:val="1"/>
      <w:numFmt w:val="decimal"/>
      <w:lvlText w:val="%1."/>
      <w:lvlJc w:val="left"/>
      <w:pPr>
        <w:ind w:left="1080" w:hanging="360"/>
      </w:pPr>
      <w:rPr>
        <w:rFonts w:hint="default" w:ascii="Arial" w:hAnsi="Arial" w:cs="Arial"/>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8A6F43"/>
    <w:multiLevelType w:val="multilevel"/>
    <w:tmpl w:val="6770B420"/>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Wingdings" w:hAnsi="Wingdings"/>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09A0A34"/>
    <w:multiLevelType w:val="hybridMultilevel"/>
    <w:tmpl w:val="1C9CED8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0D61C89"/>
    <w:multiLevelType w:val="hybridMultilevel"/>
    <w:tmpl w:val="EB2EDDF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10FC5830"/>
    <w:multiLevelType w:val="hybridMultilevel"/>
    <w:tmpl w:val="A8787002"/>
    <w:lvl w:ilvl="0" w:tplc="8DC07D94">
      <w:start w:val="1"/>
      <w:numFmt w:val="bullet"/>
      <w:pStyle w:val="ListMapping"/>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7" w15:restartNumberingAfterBreak="0">
    <w:nsid w:val="13765B5A"/>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18" w15:restartNumberingAfterBreak="0">
    <w:nsid w:val="139C6D0E"/>
    <w:multiLevelType w:val="hybridMultilevel"/>
    <w:tmpl w:val="7F405E78"/>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13D6332E"/>
    <w:multiLevelType w:val="hybridMultilevel"/>
    <w:tmpl w:val="072A238C"/>
    <w:lvl w:ilvl="0" w:tplc="04090001">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color w:val="auto"/>
        <w:sz w:val="20"/>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15A92681"/>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1" w15:restartNumberingAfterBreak="0">
    <w:nsid w:val="170418E0"/>
    <w:multiLevelType w:val="hybridMultilevel"/>
    <w:tmpl w:val="7CE27B10"/>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color w:val="auto"/>
        <w:sz w:val="20"/>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2" w15:restartNumberingAfterBreak="0">
    <w:nsid w:val="1A6C5BAE"/>
    <w:multiLevelType w:val="hybridMultilevel"/>
    <w:tmpl w:val="18468532"/>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1BAD7765"/>
    <w:multiLevelType w:val="hybridMultilevel"/>
    <w:tmpl w:val="F2C62F88"/>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4" w15:restartNumberingAfterBreak="0">
    <w:nsid w:val="1BB4766C"/>
    <w:multiLevelType w:val="multilevel"/>
    <w:tmpl w:val="5B982C96"/>
    <w:styleLink w:val="Style2"/>
    <w:lvl w:ilvl="0">
      <w:start w:val="1"/>
      <w:numFmt w:val="decimal"/>
      <w:lvlText w:val="%1."/>
      <w:lvlJc w:val="left"/>
      <w:pPr>
        <w:ind w:left="1656" w:hanging="360"/>
      </w:pPr>
      <w:rPr>
        <w:rFonts w:hint="default" w:ascii="Arial" w:hAnsi="Arial"/>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1D74280E"/>
    <w:multiLevelType w:val="hybridMultilevel"/>
    <w:tmpl w:val="7CAA1BDA"/>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6" w15:restartNumberingAfterBreak="0">
    <w:nsid w:val="1E46236B"/>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7" w15:restartNumberingAfterBreak="0">
    <w:nsid w:val="2081302A"/>
    <w:multiLevelType w:val="hybridMultilevel"/>
    <w:tmpl w:val="A2623102"/>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213655DD"/>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29" w15:restartNumberingAfterBreak="0">
    <w:nsid w:val="22F975EA"/>
    <w:multiLevelType w:val="hybridMultilevel"/>
    <w:tmpl w:val="0C822F84"/>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0" w15:restartNumberingAfterBreak="0">
    <w:nsid w:val="233611BD"/>
    <w:multiLevelType w:val="hybridMultilevel"/>
    <w:tmpl w:val="E5A0C2EC"/>
    <w:lvl w:ilvl="0" w:tplc="04090001">
      <w:start w:val="1"/>
      <w:numFmt w:val="bullet"/>
      <w:lvlText w:val=""/>
      <w:lvlJc w:val="left"/>
      <w:pPr>
        <w:ind w:left="720" w:hanging="360"/>
      </w:pPr>
      <w:rPr>
        <w:rFonts w:hint="default" w:ascii="Symbol" w:hAnsi="Symbol"/>
        <w:color w:val="000000" w:themeColor="text1"/>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25793E1E"/>
    <w:multiLevelType w:val="hybridMultilevel"/>
    <w:tmpl w:val="68B4435E"/>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2" w15:restartNumberingAfterBreak="0">
    <w:nsid w:val="28643735"/>
    <w:multiLevelType w:val="hybridMultilevel"/>
    <w:tmpl w:val="3FEE0B0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30754202"/>
    <w:multiLevelType w:val="hybridMultilevel"/>
    <w:tmpl w:val="2D5464A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3BE4EE6"/>
    <w:multiLevelType w:val="hybridMultilevel"/>
    <w:tmpl w:val="1E3A219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33E1041C"/>
    <w:multiLevelType w:val="multilevel"/>
    <w:tmpl w:val="91A2570E"/>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Wingdings" w:hAnsi="Wingdings"/>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3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BF60FB4"/>
    <w:multiLevelType w:val="hybridMultilevel"/>
    <w:tmpl w:val="73E6BF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3C2943C3"/>
    <w:multiLevelType w:val="hybridMultilevel"/>
    <w:tmpl w:val="AA6C78F2"/>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9" w15:restartNumberingAfterBreak="0">
    <w:nsid w:val="3D7E5678"/>
    <w:multiLevelType w:val="hybridMultilevel"/>
    <w:tmpl w:val="3516FE20"/>
    <w:lvl w:ilvl="0" w:tplc="FFFFFFFF">
      <w:start w:val="1"/>
      <w:numFmt w:val="bullet"/>
      <w:lvlText w:val=""/>
      <w:lvlJc w:val="left"/>
      <w:pPr>
        <w:ind w:left="720" w:hanging="360"/>
      </w:pPr>
      <w:rPr>
        <w:rFonts w:hint="default" w:ascii="Wingdings" w:hAnsi="Wingdings"/>
        <w:color w:val="000000" w:themeColor="text1"/>
      </w:rPr>
    </w:lvl>
    <w:lvl w:ilvl="1" w:tplc="FFFFFFFF" w:tentative="1">
      <w:start w:val="1"/>
      <w:numFmt w:val="bullet"/>
      <w:lvlText w:val="o"/>
      <w:lvlJc w:val="left"/>
      <w:pPr>
        <w:ind w:left="1440" w:hanging="360"/>
      </w:pPr>
      <w:rPr>
        <w:rFonts w:hint="default" w:ascii="Courier New" w:hAnsi="Courier New" w:cs="Courier New"/>
      </w:rPr>
    </w:lvl>
    <w:lvl w:ilvl="2" w:tplc="04090001">
      <w:start w:val="1"/>
      <w:numFmt w:val="bullet"/>
      <w:lvlText w:val=""/>
      <w:lvlJc w:val="left"/>
      <w:pPr>
        <w:ind w:left="720" w:hanging="360"/>
      </w:pPr>
      <w:rPr>
        <w:rFonts w:hint="default" w:ascii="Symbol" w:hAnsi="Symbol"/>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0" w15:restartNumberingAfterBreak="0">
    <w:nsid w:val="42016F1A"/>
    <w:multiLevelType w:val="hybridMultilevel"/>
    <w:tmpl w:val="AC62D296"/>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1" w15:restartNumberingAfterBreak="0">
    <w:nsid w:val="434C7444"/>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42" w15:restartNumberingAfterBreak="0">
    <w:nsid w:val="45046BAA"/>
    <w:multiLevelType w:val="hybridMultilevel"/>
    <w:tmpl w:val="185E40CE"/>
    <w:lvl w:ilvl="0" w:tplc="98E4FA50">
      <w:start w:val="1"/>
      <w:numFmt w:val="bullet"/>
      <w:pStyle w:val="ListParagraph"/>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45DF2CC4"/>
    <w:multiLevelType w:val="hybridMultilevel"/>
    <w:tmpl w:val="793C9308"/>
    <w:lvl w:ilvl="0" w:tplc="FFFFFFFF">
      <w:start w:val="1"/>
      <w:numFmt w:val="bullet"/>
      <w:lvlText w:val=""/>
      <w:lvlJc w:val="left"/>
      <w:pPr>
        <w:ind w:left="720" w:hanging="360"/>
      </w:pPr>
      <w:rPr>
        <w:rFonts w:hint="default" w:ascii="Symbol" w:hAnsi="Symbol"/>
      </w:rPr>
    </w:lvl>
    <w:lvl w:ilvl="1" w:tplc="04090001">
      <w:start w:val="1"/>
      <w:numFmt w:val="bullet"/>
      <w:lvlText w:val=""/>
      <w:lvlJc w:val="left"/>
      <w:pPr>
        <w:ind w:left="1440" w:hanging="360"/>
      </w:pPr>
      <w:rPr>
        <w:rFonts w:hint="default" w:ascii="Symbol" w:hAnsi="Symbol"/>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4" w15:restartNumberingAfterBreak="0">
    <w:nsid w:val="46EE506A"/>
    <w:multiLevelType w:val="hybridMultilevel"/>
    <w:tmpl w:val="25AED440"/>
    <w:lvl w:ilvl="0" w:tplc="FFFFFFFF">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04090001">
      <w:start w:val="1"/>
      <w:numFmt w:val="bullet"/>
      <w:lvlText w:val=""/>
      <w:lvlJc w:val="left"/>
      <w:pPr>
        <w:ind w:left="2160" w:hanging="360"/>
      </w:pPr>
      <w:rPr>
        <w:rFonts w:hint="default" w:ascii="Symbol" w:hAnsi="Symbol"/>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5" w15:restartNumberingAfterBreak="0">
    <w:nsid w:val="491B5223"/>
    <w:multiLevelType w:val="hybridMultilevel"/>
    <w:tmpl w:val="FDB24690"/>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6" w15:restartNumberingAfterBreak="0">
    <w:nsid w:val="497F47B4"/>
    <w:multiLevelType w:val="hybridMultilevel"/>
    <w:tmpl w:val="F3886C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7" w15:restartNumberingAfterBreak="0">
    <w:nsid w:val="4F32076C"/>
    <w:multiLevelType w:val="hybridMultilevel"/>
    <w:tmpl w:val="184685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5240DA"/>
    <w:multiLevelType w:val="hybridMultilevel"/>
    <w:tmpl w:val="26A2670E"/>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0" w15:restartNumberingAfterBreak="0">
    <w:nsid w:val="550160A0"/>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1" w15:restartNumberingAfterBreak="0">
    <w:nsid w:val="563F7B66"/>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2" w15:restartNumberingAfterBreak="0">
    <w:nsid w:val="58615715"/>
    <w:multiLevelType w:val="hybridMultilevel"/>
    <w:tmpl w:val="072A238C"/>
    <w:lvl w:ilvl="0" w:tplc="FFFFFFFF">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Wingdings" w:hAnsi="Wingdings"/>
        <w:color w:val="auto"/>
        <w:sz w:val="20"/>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3" w15:restartNumberingAfterBreak="0">
    <w:nsid w:val="593E770F"/>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4" w15:restartNumberingAfterBreak="0">
    <w:nsid w:val="5C3E6F8F"/>
    <w:multiLevelType w:val="hybridMultilevel"/>
    <w:tmpl w:val="DF4ACC06"/>
    <w:lvl w:ilvl="0" w:tplc="FFFFFFFF">
      <w:start w:val="1"/>
      <w:numFmt w:val="bullet"/>
      <w:lvlText w:val=""/>
      <w:lvlJc w:val="left"/>
      <w:pPr>
        <w:ind w:left="720" w:hanging="360"/>
      </w:pPr>
      <w:rPr>
        <w:rFonts w:hint="default" w:ascii="Symbol" w:hAnsi="Symbol"/>
      </w:rPr>
    </w:lvl>
    <w:lvl w:ilvl="1" w:tplc="04090001">
      <w:start w:val="1"/>
      <w:numFmt w:val="bullet"/>
      <w:lvlText w:val=""/>
      <w:lvlJc w:val="left"/>
      <w:pPr>
        <w:ind w:left="2160" w:hanging="360"/>
      </w:pPr>
      <w:rPr>
        <w:rFonts w:hint="default" w:ascii="Symbol" w:hAnsi="Symbol"/>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6F5607"/>
    <w:multiLevelType w:val="hybridMultilevel"/>
    <w:tmpl w:val="4B5ECE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7" w15:restartNumberingAfterBreak="0">
    <w:nsid w:val="5D205A1F"/>
    <w:multiLevelType w:val="hybridMultilevel"/>
    <w:tmpl w:val="2A181F56"/>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8" w15:restartNumberingAfterBreak="0">
    <w:nsid w:val="5D6417B3"/>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59" w15:restartNumberingAfterBreak="0">
    <w:nsid w:val="5E245B2B"/>
    <w:multiLevelType w:val="multilevel"/>
    <w:tmpl w:val="A33267B6"/>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Wingdings" w:hAnsi="Wingdings"/>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60" w15:restartNumberingAfterBreak="0">
    <w:nsid w:val="5E5F3FD6"/>
    <w:multiLevelType w:val="hybridMultilevel"/>
    <w:tmpl w:val="8E3E644E"/>
    <w:lvl w:ilvl="0" w:tplc="FFFFFFFF">
      <w:start w:val="1"/>
      <w:numFmt w:val="bullet"/>
      <w:lvlText w:val=""/>
      <w:lvlJc w:val="left"/>
      <w:pPr>
        <w:ind w:left="720" w:hanging="360"/>
      </w:pPr>
      <w:rPr>
        <w:rFonts w:hint="default" w:ascii="Symbol" w:hAnsi="Symbol"/>
      </w:rPr>
    </w:lvl>
    <w:lvl w:ilvl="1" w:tplc="04090005">
      <w:start w:val="1"/>
      <w:numFmt w:val="bullet"/>
      <w:lvlText w:val=""/>
      <w:lvlJc w:val="left"/>
      <w:pPr>
        <w:ind w:left="1440" w:hanging="360"/>
      </w:pPr>
      <w:rPr>
        <w:rFonts w:hint="default" w:ascii="Wingdings" w:hAnsi="Wingdings"/>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1" w15:restartNumberingAfterBreak="0">
    <w:nsid w:val="5EDC5AED"/>
    <w:multiLevelType w:val="hybridMultilevel"/>
    <w:tmpl w:val="3C588EBA"/>
    <w:lvl w:ilvl="0" w:tplc="FFFFFFFF">
      <w:start w:val="1"/>
      <w:numFmt w:val="bullet"/>
      <w:lvlText w:val=""/>
      <w:lvlJc w:val="left"/>
      <w:pPr>
        <w:ind w:left="720" w:hanging="360"/>
      </w:pPr>
      <w:rPr>
        <w:rFonts w:hint="default" w:ascii="Wingdings" w:hAnsi="Wingdings"/>
      </w:rPr>
    </w:lvl>
    <w:lvl w:ilvl="1" w:tplc="04090005">
      <w:start w:val="1"/>
      <w:numFmt w:val="bullet"/>
      <w:lvlText w:val=""/>
      <w:lvlJc w:val="left"/>
      <w:pPr>
        <w:ind w:left="1440" w:hanging="360"/>
      </w:pPr>
      <w:rPr>
        <w:rFonts w:hint="default" w:ascii="Wingdings" w:hAnsi="Wingdings"/>
        <w:color w:val="auto"/>
        <w:sz w:val="20"/>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2" w15:restartNumberingAfterBreak="0">
    <w:nsid w:val="613B56AC"/>
    <w:multiLevelType w:val="hybridMultilevel"/>
    <w:tmpl w:val="FC2843DE"/>
    <w:lvl w:ilvl="0" w:tplc="04090005">
      <w:start w:val="1"/>
      <w:numFmt w:val="bullet"/>
      <w:lvlText w:val=""/>
      <w:lvlJc w:val="left"/>
      <w:pPr>
        <w:ind w:left="720" w:hanging="360"/>
      </w:pPr>
      <w:rPr>
        <w:rFonts w:hint="default" w:ascii="Wingdings" w:hAnsi="Wingdings"/>
      </w:rPr>
    </w:lvl>
    <w:lvl w:ilvl="1" w:tplc="04090005">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3" w15:restartNumberingAfterBreak="0">
    <w:nsid w:val="624A7C96"/>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6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6C85243"/>
    <w:multiLevelType w:val="hybridMultilevel"/>
    <w:tmpl w:val="072A238C"/>
    <w:lvl w:ilvl="0" w:tplc="FFFFFFFF">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Wingdings" w:hAnsi="Wingdings"/>
        <w:color w:val="auto"/>
        <w:sz w:val="20"/>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6" w15:restartNumberingAfterBreak="0">
    <w:nsid w:val="68C049FA"/>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67" w15:restartNumberingAfterBreak="0">
    <w:nsid w:val="69C626CF"/>
    <w:multiLevelType w:val="hybridMultilevel"/>
    <w:tmpl w:val="36BC3782"/>
    <w:lvl w:ilvl="0" w:tplc="04090005">
      <w:start w:val="1"/>
      <w:numFmt w:val="bullet"/>
      <w:lvlText w:val=""/>
      <w:lvlJc w:val="left"/>
      <w:pPr>
        <w:ind w:left="720" w:hanging="360"/>
      </w:pPr>
      <w:rPr>
        <w:rFonts w:hint="default" w:ascii="Wingdings" w:hAnsi="Wingdings"/>
      </w:rPr>
    </w:lvl>
    <w:lvl w:ilvl="1" w:tplc="04090005">
      <w:start w:val="1"/>
      <w:numFmt w:val="bullet"/>
      <w:lvlText w:val=""/>
      <w:lvlJc w:val="left"/>
      <w:pPr>
        <w:ind w:left="1440" w:hanging="360"/>
      </w:pPr>
      <w:rPr>
        <w:rFonts w:hint="default" w:ascii="Wingdings" w:hAnsi="Wingdings"/>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8" w15:restartNumberingAfterBreak="0">
    <w:nsid w:val="6C1A6B82"/>
    <w:multiLevelType w:val="hybridMultilevel"/>
    <w:tmpl w:val="69E27E70"/>
    <w:lvl w:ilvl="0" w:tplc="FFFFFFFF">
      <w:start w:val="1"/>
      <w:numFmt w:val="bullet"/>
      <w:lvlText w:val=""/>
      <w:lvlJc w:val="left"/>
      <w:pPr>
        <w:ind w:left="2520" w:hanging="360"/>
      </w:pPr>
      <w:rPr>
        <w:rFonts w:hint="default" w:ascii="Symbol" w:hAnsi="Symbol"/>
      </w:rPr>
    </w:lvl>
    <w:lvl w:ilvl="1" w:tplc="FFFFFFFF" w:tentative="1">
      <w:start w:val="1"/>
      <w:numFmt w:val="bullet"/>
      <w:lvlText w:val="o"/>
      <w:lvlJc w:val="left"/>
      <w:pPr>
        <w:ind w:left="3240" w:hanging="360"/>
      </w:pPr>
      <w:rPr>
        <w:rFonts w:hint="default" w:ascii="Courier New" w:hAnsi="Courier New" w:cs="Courier New"/>
      </w:rPr>
    </w:lvl>
    <w:lvl w:ilvl="2" w:tplc="04090001">
      <w:start w:val="1"/>
      <w:numFmt w:val="bullet"/>
      <w:lvlText w:val=""/>
      <w:lvlJc w:val="left"/>
      <w:pPr>
        <w:ind w:left="2160" w:hanging="360"/>
      </w:pPr>
      <w:rPr>
        <w:rFonts w:hint="default" w:ascii="Symbol" w:hAnsi="Symbol"/>
      </w:rPr>
    </w:lvl>
    <w:lvl w:ilvl="3" w:tplc="FFFFFFFF" w:tentative="1">
      <w:start w:val="1"/>
      <w:numFmt w:val="bullet"/>
      <w:lvlText w:val=""/>
      <w:lvlJc w:val="left"/>
      <w:pPr>
        <w:ind w:left="4680" w:hanging="360"/>
      </w:pPr>
      <w:rPr>
        <w:rFonts w:hint="default" w:ascii="Symbol" w:hAnsi="Symbol"/>
      </w:rPr>
    </w:lvl>
    <w:lvl w:ilvl="4" w:tplc="FFFFFFFF" w:tentative="1">
      <w:start w:val="1"/>
      <w:numFmt w:val="bullet"/>
      <w:lvlText w:val="o"/>
      <w:lvlJc w:val="left"/>
      <w:pPr>
        <w:ind w:left="5400" w:hanging="360"/>
      </w:pPr>
      <w:rPr>
        <w:rFonts w:hint="default" w:ascii="Courier New" w:hAnsi="Courier New" w:cs="Courier New"/>
      </w:rPr>
    </w:lvl>
    <w:lvl w:ilvl="5" w:tplc="FFFFFFFF" w:tentative="1">
      <w:start w:val="1"/>
      <w:numFmt w:val="bullet"/>
      <w:lvlText w:val=""/>
      <w:lvlJc w:val="left"/>
      <w:pPr>
        <w:ind w:left="6120" w:hanging="360"/>
      </w:pPr>
      <w:rPr>
        <w:rFonts w:hint="default" w:ascii="Wingdings" w:hAnsi="Wingdings"/>
      </w:rPr>
    </w:lvl>
    <w:lvl w:ilvl="6" w:tplc="FFFFFFFF" w:tentative="1">
      <w:start w:val="1"/>
      <w:numFmt w:val="bullet"/>
      <w:lvlText w:val=""/>
      <w:lvlJc w:val="left"/>
      <w:pPr>
        <w:ind w:left="6840" w:hanging="360"/>
      </w:pPr>
      <w:rPr>
        <w:rFonts w:hint="default" w:ascii="Symbol" w:hAnsi="Symbol"/>
      </w:rPr>
    </w:lvl>
    <w:lvl w:ilvl="7" w:tplc="FFFFFFFF" w:tentative="1">
      <w:start w:val="1"/>
      <w:numFmt w:val="bullet"/>
      <w:lvlText w:val="o"/>
      <w:lvlJc w:val="left"/>
      <w:pPr>
        <w:ind w:left="7560" w:hanging="360"/>
      </w:pPr>
      <w:rPr>
        <w:rFonts w:hint="default" w:ascii="Courier New" w:hAnsi="Courier New" w:cs="Courier New"/>
      </w:rPr>
    </w:lvl>
    <w:lvl w:ilvl="8" w:tplc="FFFFFFFF" w:tentative="1">
      <w:start w:val="1"/>
      <w:numFmt w:val="bullet"/>
      <w:lvlText w:val=""/>
      <w:lvlJc w:val="left"/>
      <w:pPr>
        <w:ind w:left="8280" w:hanging="360"/>
      </w:pPr>
      <w:rPr>
        <w:rFonts w:hint="default" w:ascii="Wingdings" w:hAnsi="Wingdings"/>
      </w:rPr>
    </w:lvl>
  </w:abstractNum>
  <w:abstractNum w:abstractNumId="69" w15:restartNumberingAfterBreak="0">
    <w:nsid w:val="6EA15B2B"/>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70" w15:restartNumberingAfterBreak="0">
    <w:nsid w:val="73DF141B"/>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abstractNum w:abstractNumId="71" w15:restartNumberingAfterBreak="0">
    <w:nsid w:val="751D2C0D"/>
    <w:multiLevelType w:val="hybridMultilevel"/>
    <w:tmpl w:val="0FEA048A"/>
    <w:lvl w:ilvl="0" w:tplc="FFFFFFFF">
      <w:start w:val="1"/>
      <w:numFmt w:val="bullet"/>
      <w:lvlText w:val=""/>
      <w:lvlJc w:val="left"/>
      <w:pPr>
        <w:ind w:left="720" w:hanging="360"/>
      </w:pPr>
      <w:rPr>
        <w:rFonts w:hint="default" w:ascii="Symbol" w:hAnsi="Symbol"/>
      </w:rPr>
    </w:lvl>
    <w:lvl w:ilvl="1" w:tplc="FFFFFFFF">
      <w:start w:val="1"/>
      <w:numFmt w:val="bullet"/>
      <w:lvlText w:val=""/>
      <w:lvlJc w:val="left"/>
      <w:pPr>
        <w:ind w:left="1440" w:hanging="360"/>
      </w:pPr>
      <w:rPr>
        <w:rFonts w:hint="default" w:ascii="Wingdings" w:hAnsi="Wingdings"/>
        <w:color w:val="auto"/>
        <w:sz w:val="20"/>
      </w:rPr>
    </w:lvl>
    <w:lvl w:ilvl="2" w:tplc="04090001">
      <w:start w:val="1"/>
      <w:numFmt w:val="bullet"/>
      <w:lvlText w:val=""/>
      <w:lvlJc w:val="left"/>
      <w:pPr>
        <w:ind w:left="2160" w:hanging="360"/>
      </w:pPr>
      <w:rPr>
        <w:rFonts w:hint="default" w:ascii="Symbol" w:hAnsi="Symbol"/>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2" w15:restartNumberingAfterBreak="0">
    <w:nsid w:val="786E6352"/>
    <w:multiLevelType w:val="hybridMultilevel"/>
    <w:tmpl w:val="BCB88A86"/>
    <w:lvl w:ilvl="0" w:tplc="DB9C6A10">
      <w:start w:val="1"/>
      <w:numFmt w:val="bullet"/>
      <w:pStyle w:val="TableLis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3" w15:restartNumberingAfterBreak="0">
    <w:nsid w:val="7ABC3F12"/>
    <w:multiLevelType w:val="hybridMultilevel"/>
    <w:tmpl w:val="04C8EC9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4" w15:restartNumberingAfterBreak="0">
    <w:nsid w:val="7B9A16A8"/>
    <w:multiLevelType w:val="hybridMultilevel"/>
    <w:tmpl w:val="95B4C0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5" w15:restartNumberingAfterBreak="0">
    <w:nsid w:val="7D213B9F"/>
    <w:multiLevelType w:val="multilevel"/>
    <w:tmpl w:val="27381108"/>
    <w:lvl w:ilvl="0">
      <w:start w:val="1"/>
      <w:numFmt w:val="bullet"/>
      <w:lvlText w:val=""/>
      <w:lvlJc w:val="left"/>
      <w:pPr>
        <w:ind w:left="720" w:hanging="360"/>
      </w:pPr>
      <w:rPr>
        <w:rFonts w:hint="default" w:ascii="Symbol" w:hAnsi="Symbol"/>
      </w:rPr>
    </w:lvl>
    <w:lvl w:ilvl="1">
      <w:start w:val="1"/>
      <w:numFmt w:val="bullet"/>
      <w:lvlText w:val=""/>
      <w:lvlJc w:val="left"/>
      <w:pPr>
        <w:ind w:left="1440" w:hanging="360"/>
      </w:pPr>
      <w:rPr>
        <w:rFonts w:hint="default" w:ascii="Wingdings" w:hAnsi="Wingdings"/>
      </w:rPr>
    </w:lvl>
    <w:lvl w:ilvl="2">
      <w:start w:val="1"/>
      <w:numFmt w:val="bullet"/>
      <w:lvlText w:val=""/>
      <w:lvlJc w:val="left"/>
      <w:pPr>
        <w:ind w:left="2160" w:hanging="360"/>
      </w:pPr>
      <w:rPr>
        <w:rFonts w:hint="default" w:ascii="Symbol" w:hAnsi="Symbol"/>
      </w:rPr>
    </w:lvl>
    <w:lvl w:ilvl="3">
      <w:start w:val="1"/>
      <w:numFmt w:val="bullet"/>
      <w:lvlText w:val=""/>
      <w:lvlJc w:val="left"/>
      <w:pPr>
        <w:ind w:left="2880" w:hanging="360"/>
      </w:pPr>
      <w:rPr>
        <w:rFonts w:hint="default" w:ascii="Wingdings" w:hAnsi="Wingdings"/>
      </w:rPr>
    </w:lvl>
    <w:lvl w:ilvl="4">
      <w:start w:val="1"/>
      <w:numFmt w:val="bullet"/>
      <w:lvlText w:val=""/>
      <w:lvlJc w:val="left"/>
      <w:pPr>
        <w:ind w:left="3600" w:hanging="360"/>
      </w:pPr>
      <w:rPr>
        <w:rFonts w:hint="default" w:ascii="Symbol" w:hAnsi="Symbol"/>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
      <w:lvlJc w:val="left"/>
      <w:pPr>
        <w:ind w:left="5760" w:hanging="360"/>
      </w:pPr>
      <w:rPr>
        <w:rFonts w:hint="default" w:ascii="Symbol" w:hAnsi="Symbol"/>
      </w:rPr>
    </w:lvl>
    <w:lvl w:ilvl="8">
      <w:start w:val="1"/>
      <w:numFmt w:val="bullet"/>
      <w:lvlText w:val=""/>
      <w:lvlJc w:val="left"/>
      <w:pPr>
        <w:ind w:left="6480" w:hanging="360"/>
      </w:pPr>
      <w:rPr>
        <w:rFonts w:hint="default" w:ascii="Wingdings" w:hAnsi="Wingdings"/>
      </w:rPr>
    </w:lvl>
  </w:abstractNum>
  <w:num w:numId="1" w16cid:durableId="1264921869">
    <w:abstractNumId w:val="13"/>
  </w:num>
  <w:num w:numId="2" w16cid:durableId="606935877">
    <w:abstractNumId w:val="64"/>
  </w:num>
  <w:num w:numId="3" w16cid:durableId="611589570">
    <w:abstractNumId w:val="4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6"/>
  </w:num>
  <w:num w:numId="15" w16cid:durableId="616722934">
    <w:abstractNumId w:val="11"/>
  </w:num>
  <w:num w:numId="16" w16cid:durableId="898320195">
    <w:abstractNumId w:val="36"/>
  </w:num>
  <w:num w:numId="17" w16cid:durableId="2128498676">
    <w:abstractNumId w:val="72"/>
  </w:num>
  <w:num w:numId="18" w16cid:durableId="299724409">
    <w:abstractNumId w:val="55"/>
  </w:num>
  <w:num w:numId="19" w16cid:durableId="214585573">
    <w:abstractNumId w:val="24"/>
  </w:num>
  <w:num w:numId="20" w16cid:durableId="1066490929">
    <w:abstractNumId w:val="75"/>
  </w:num>
  <w:num w:numId="21" w16cid:durableId="114301184">
    <w:abstractNumId w:val="46"/>
  </w:num>
  <w:num w:numId="22" w16cid:durableId="1323701849">
    <w:abstractNumId w:val="15"/>
  </w:num>
  <w:num w:numId="23" w16cid:durableId="1505631706">
    <w:abstractNumId w:val="73"/>
  </w:num>
  <w:num w:numId="24" w16cid:durableId="1132555672">
    <w:abstractNumId w:val="31"/>
  </w:num>
  <w:num w:numId="25" w16cid:durableId="1715275001">
    <w:abstractNumId w:val="27"/>
  </w:num>
  <w:num w:numId="26" w16cid:durableId="1804689008">
    <w:abstractNumId w:val="37"/>
  </w:num>
  <w:num w:numId="27" w16cid:durableId="1641612291">
    <w:abstractNumId w:val="14"/>
  </w:num>
  <w:num w:numId="28" w16cid:durableId="287858538">
    <w:abstractNumId w:val="43"/>
  </w:num>
  <w:num w:numId="29" w16cid:durableId="412238514">
    <w:abstractNumId w:val="56"/>
  </w:num>
  <w:num w:numId="30" w16cid:durableId="1333876949">
    <w:abstractNumId w:val="30"/>
  </w:num>
  <w:num w:numId="31" w16cid:durableId="237518866">
    <w:abstractNumId w:val="18"/>
  </w:num>
  <w:num w:numId="32" w16cid:durableId="315258014">
    <w:abstractNumId w:val="32"/>
  </w:num>
  <w:num w:numId="33" w16cid:durableId="1849251300">
    <w:abstractNumId w:val="42"/>
  </w:num>
  <w:num w:numId="34" w16cid:durableId="1437482169">
    <w:abstractNumId w:val="25"/>
  </w:num>
  <w:num w:numId="35" w16cid:durableId="1408914023">
    <w:abstractNumId w:val="45"/>
  </w:num>
  <w:num w:numId="36" w16cid:durableId="1775856139">
    <w:abstractNumId w:val="29"/>
  </w:num>
  <w:num w:numId="37" w16cid:durableId="1066686700">
    <w:abstractNumId w:val="49"/>
  </w:num>
  <w:num w:numId="38" w16cid:durableId="643509507">
    <w:abstractNumId w:val="44"/>
  </w:num>
  <w:num w:numId="39" w16cid:durableId="1880848860">
    <w:abstractNumId w:val="34"/>
  </w:num>
  <w:num w:numId="40" w16cid:durableId="1766925646">
    <w:abstractNumId w:val="47"/>
  </w:num>
  <w:num w:numId="41" w16cid:durableId="284822231">
    <w:abstractNumId w:val="57"/>
  </w:num>
  <w:num w:numId="42" w16cid:durableId="1387336349">
    <w:abstractNumId w:val="17"/>
  </w:num>
  <w:num w:numId="43" w16cid:durableId="1812093652">
    <w:abstractNumId w:val="22"/>
  </w:num>
  <w:num w:numId="44" w16cid:durableId="1562591779">
    <w:abstractNumId w:val="74"/>
  </w:num>
  <w:num w:numId="45" w16cid:durableId="739718263">
    <w:abstractNumId w:val="23"/>
  </w:num>
  <w:num w:numId="46" w16cid:durableId="1339893974">
    <w:abstractNumId w:val="38"/>
  </w:num>
  <w:num w:numId="47" w16cid:durableId="1933590077">
    <w:abstractNumId w:val="67"/>
  </w:num>
  <w:num w:numId="48" w16cid:durableId="1919359251">
    <w:abstractNumId w:val="39"/>
  </w:num>
  <w:num w:numId="49" w16cid:durableId="1906642333">
    <w:abstractNumId w:val="62"/>
  </w:num>
  <w:num w:numId="50" w16cid:durableId="950278312">
    <w:abstractNumId w:val="19"/>
  </w:num>
  <w:num w:numId="51" w16cid:durableId="845365635">
    <w:abstractNumId w:val="71"/>
  </w:num>
  <w:num w:numId="52" w16cid:durableId="20938662">
    <w:abstractNumId w:val="52"/>
  </w:num>
  <w:num w:numId="53" w16cid:durableId="622805637">
    <w:abstractNumId w:val="65"/>
  </w:num>
  <w:num w:numId="54" w16cid:durableId="916745224">
    <w:abstractNumId w:val="68"/>
  </w:num>
  <w:num w:numId="55" w16cid:durableId="296028408">
    <w:abstractNumId w:val="33"/>
  </w:num>
  <w:num w:numId="56" w16cid:durableId="2022465426">
    <w:abstractNumId w:val="21"/>
  </w:num>
  <w:num w:numId="57" w16cid:durableId="2064132145">
    <w:abstractNumId w:val="61"/>
  </w:num>
  <w:num w:numId="58" w16cid:durableId="1271282159">
    <w:abstractNumId w:val="66"/>
  </w:num>
  <w:num w:numId="59" w16cid:durableId="1696617254">
    <w:abstractNumId w:val="63"/>
  </w:num>
  <w:num w:numId="60" w16cid:durableId="829103870">
    <w:abstractNumId w:val="50"/>
  </w:num>
  <w:num w:numId="61" w16cid:durableId="2055931577">
    <w:abstractNumId w:val="26"/>
  </w:num>
  <w:num w:numId="62" w16cid:durableId="1325401977">
    <w:abstractNumId w:val="69"/>
  </w:num>
  <w:num w:numId="63" w16cid:durableId="1525749952">
    <w:abstractNumId w:val="51"/>
  </w:num>
  <w:num w:numId="64" w16cid:durableId="685518328">
    <w:abstractNumId w:val="41"/>
  </w:num>
  <w:num w:numId="65" w16cid:durableId="1152064584">
    <w:abstractNumId w:val="28"/>
  </w:num>
  <w:num w:numId="66" w16cid:durableId="1823427930">
    <w:abstractNumId w:val="20"/>
  </w:num>
  <w:num w:numId="67" w16cid:durableId="1884095024">
    <w:abstractNumId w:val="58"/>
  </w:num>
  <w:num w:numId="68" w16cid:durableId="1564565432">
    <w:abstractNumId w:val="53"/>
  </w:num>
  <w:num w:numId="69" w16cid:durableId="80683870">
    <w:abstractNumId w:val="70"/>
  </w:num>
  <w:num w:numId="70" w16cid:durableId="508642964">
    <w:abstractNumId w:val="54"/>
  </w:num>
  <w:num w:numId="71" w16cid:durableId="561326784">
    <w:abstractNumId w:val="12"/>
  </w:num>
  <w:num w:numId="72" w16cid:durableId="141699858">
    <w:abstractNumId w:val="35"/>
  </w:num>
  <w:num w:numId="73" w16cid:durableId="972755077">
    <w:abstractNumId w:val="59"/>
  </w:num>
  <w:num w:numId="74" w16cid:durableId="1045761823">
    <w:abstractNumId w:val="60"/>
  </w:num>
  <w:num w:numId="75" w16cid:durableId="108009842">
    <w:abstractNumId w:val="40"/>
  </w:num>
  <w:num w:numId="76" w16cid:durableId="1562446789">
    <w:abstractNumId w:val="10"/>
  </w:num>
  <w:numIdMacAtCleanup w:val="6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embedSystemFonts/>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314"/>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334C"/>
    <w:rsid w:val="000749E4"/>
    <w:rsid w:val="00074BFE"/>
    <w:rsid w:val="000755C3"/>
    <w:rsid w:val="00075C18"/>
    <w:rsid w:val="000760A2"/>
    <w:rsid w:val="000760F2"/>
    <w:rsid w:val="000767AE"/>
    <w:rsid w:val="00076FED"/>
    <w:rsid w:val="000771F0"/>
    <w:rsid w:val="00077C0D"/>
    <w:rsid w:val="00080866"/>
    <w:rsid w:val="0008143B"/>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0F62"/>
    <w:rsid w:val="000913DE"/>
    <w:rsid w:val="00091E1D"/>
    <w:rsid w:val="0009326E"/>
    <w:rsid w:val="00093AB5"/>
    <w:rsid w:val="00094A59"/>
    <w:rsid w:val="00095B9C"/>
    <w:rsid w:val="0009781E"/>
    <w:rsid w:val="000A0CCE"/>
    <w:rsid w:val="000A1517"/>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4CAA"/>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476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2D72"/>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1B7"/>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427"/>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4B"/>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2EBB"/>
    <w:rsid w:val="001A320A"/>
    <w:rsid w:val="001A33ED"/>
    <w:rsid w:val="001A432B"/>
    <w:rsid w:val="001A432C"/>
    <w:rsid w:val="001A4C1C"/>
    <w:rsid w:val="001A4DBB"/>
    <w:rsid w:val="001A5139"/>
    <w:rsid w:val="001A55B8"/>
    <w:rsid w:val="001A576D"/>
    <w:rsid w:val="001A57C5"/>
    <w:rsid w:val="001A6053"/>
    <w:rsid w:val="001A7761"/>
    <w:rsid w:val="001B0CED"/>
    <w:rsid w:val="001B13E5"/>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6F8A"/>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3972"/>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29"/>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A0C"/>
    <w:rsid w:val="00285DDF"/>
    <w:rsid w:val="00286BF2"/>
    <w:rsid w:val="002872B8"/>
    <w:rsid w:val="002872F2"/>
    <w:rsid w:val="00287951"/>
    <w:rsid w:val="00287B8B"/>
    <w:rsid w:val="00290525"/>
    <w:rsid w:val="00290713"/>
    <w:rsid w:val="0029078F"/>
    <w:rsid w:val="00290C26"/>
    <w:rsid w:val="00290D0D"/>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436F"/>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22E"/>
    <w:rsid w:val="002C554A"/>
    <w:rsid w:val="002C56FC"/>
    <w:rsid w:val="002C5C53"/>
    <w:rsid w:val="002C6509"/>
    <w:rsid w:val="002C674A"/>
    <w:rsid w:val="002C6CE0"/>
    <w:rsid w:val="002C7085"/>
    <w:rsid w:val="002C7217"/>
    <w:rsid w:val="002D08E3"/>
    <w:rsid w:val="002D0E27"/>
    <w:rsid w:val="002D115E"/>
    <w:rsid w:val="002D14E1"/>
    <w:rsid w:val="002D1D3F"/>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03CD"/>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D22"/>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72B"/>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5F20"/>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6F2C"/>
    <w:rsid w:val="003F75BB"/>
    <w:rsid w:val="003F7A17"/>
    <w:rsid w:val="00401820"/>
    <w:rsid w:val="00402C8F"/>
    <w:rsid w:val="00402FED"/>
    <w:rsid w:val="00403087"/>
    <w:rsid w:val="0040329C"/>
    <w:rsid w:val="004032A5"/>
    <w:rsid w:val="0040594C"/>
    <w:rsid w:val="00405C5D"/>
    <w:rsid w:val="00407C38"/>
    <w:rsid w:val="00407D9E"/>
    <w:rsid w:val="00407FC0"/>
    <w:rsid w:val="0041023B"/>
    <w:rsid w:val="0041061B"/>
    <w:rsid w:val="00411195"/>
    <w:rsid w:val="00411413"/>
    <w:rsid w:val="00411494"/>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1E7"/>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5A1"/>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796"/>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680"/>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D2C"/>
    <w:rsid w:val="004B1EDB"/>
    <w:rsid w:val="004B23DC"/>
    <w:rsid w:val="004B2869"/>
    <w:rsid w:val="004B2906"/>
    <w:rsid w:val="004B384B"/>
    <w:rsid w:val="004B393A"/>
    <w:rsid w:val="004B3EA6"/>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90D"/>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E7BED"/>
    <w:rsid w:val="004F0A1D"/>
    <w:rsid w:val="004F1A5E"/>
    <w:rsid w:val="004F2E2A"/>
    <w:rsid w:val="004F34FF"/>
    <w:rsid w:val="004F37F3"/>
    <w:rsid w:val="004F3F44"/>
    <w:rsid w:val="004F440F"/>
    <w:rsid w:val="004F457C"/>
    <w:rsid w:val="004F46AD"/>
    <w:rsid w:val="004F4A04"/>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47F"/>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E78"/>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0C26"/>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0EFC"/>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1C26"/>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6CB"/>
    <w:rsid w:val="00660EDA"/>
    <w:rsid w:val="00660FCF"/>
    <w:rsid w:val="0066217F"/>
    <w:rsid w:val="00662694"/>
    <w:rsid w:val="00662743"/>
    <w:rsid w:val="00662DA2"/>
    <w:rsid w:val="0066350F"/>
    <w:rsid w:val="00663627"/>
    <w:rsid w:val="006655A1"/>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4ECC"/>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0A19"/>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4E02"/>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8AD"/>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71B"/>
    <w:rsid w:val="008943CF"/>
    <w:rsid w:val="008945D6"/>
    <w:rsid w:val="00895C0F"/>
    <w:rsid w:val="00895FE5"/>
    <w:rsid w:val="00896FAB"/>
    <w:rsid w:val="008973E6"/>
    <w:rsid w:val="00897778"/>
    <w:rsid w:val="00897A39"/>
    <w:rsid w:val="00897BD4"/>
    <w:rsid w:val="00897C3B"/>
    <w:rsid w:val="008A08A4"/>
    <w:rsid w:val="008A15EC"/>
    <w:rsid w:val="008A450E"/>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459"/>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2A8F"/>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55B"/>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5D3"/>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2B"/>
    <w:rsid w:val="00986BF8"/>
    <w:rsid w:val="00986C82"/>
    <w:rsid w:val="009911F3"/>
    <w:rsid w:val="00991319"/>
    <w:rsid w:val="0099311D"/>
    <w:rsid w:val="00993552"/>
    <w:rsid w:val="00993CD7"/>
    <w:rsid w:val="00994606"/>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5BA5"/>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53CD"/>
    <w:rsid w:val="009F6192"/>
    <w:rsid w:val="009F672D"/>
    <w:rsid w:val="009F6E2E"/>
    <w:rsid w:val="009F7EA7"/>
    <w:rsid w:val="00A000EF"/>
    <w:rsid w:val="00A00395"/>
    <w:rsid w:val="00A01B93"/>
    <w:rsid w:val="00A02ED7"/>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953"/>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3EF"/>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0BE"/>
    <w:rsid w:val="00AA5FEE"/>
    <w:rsid w:val="00AA6624"/>
    <w:rsid w:val="00AA6E94"/>
    <w:rsid w:val="00AA7217"/>
    <w:rsid w:val="00AA7BC6"/>
    <w:rsid w:val="00AA7D6B"/>
    <w:rsid w:val="00AB03C3"/>
    <w:rsid w:val="00AB060C"/>
    <w:rsid w:val="00AB07BF"/>
    <w:rsid w:val="00AB07C6"/>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0A18"/>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8D4"/>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08BF"/>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AF6"/>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9D4"/>
    <w:rsid w:val="00B85C37"/>
    <w:rsid w:val="00B85D7B"/>
    <w:rsid w:val="00B860C8"/>
    <w:rsid w:val="00B86B9B"/>
    <w:rsid w:val="00B8792F"/>
    <w:rsid w:val="00B9125F"/>
    <w:rsid w:val="00B916FF"/>
    <w:rsid w:val="00B91DC8"/>
    <w:rsid w:val="00B92FFE"/>
    <w:rsid w:val="00B93BBA"/>
    <w:rsid w:val="00B94445"/>
    <w:rsid w:val="00B9493B"/>
    <w:rsid w:val="00B95158"/>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697E"/>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802"/>
    <w:rsid w:val="00C02901"/>
    <w:rsid w:val="00C02F81"/>
    <w:rsid w:val="00C04410"/>
    <w:rsid w:val="00C04991"/>
    <w:rsid w:val="00C04C79"/>
    <w:rsid w:val="00C05AC4"/>
    <w:rsid w:val="00C06539"/>
    <w:rsid w:val="00C100F8"/>
    <w:rsid w:val="00C103C4"/>
    <w:rsid w:val="00C11959"/>
    <w:rsid w:val="00C11CD0"/>
    <w:rsid w:val="00C122F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5D99"/>
    <w:rsid w:val="00C600E7"/>
    <w:rsid w:val="00C60692"/>
    <w:rsid w:val="00C60873"/>
    <w:rsid w:val="00C60AD4"/>
    <w:rsid w:val="00C6155D"/>
    <w:rsid w:val="00C6177C"/>
    <w:rsid w:val="00C617ED"/>
    <w:rsid w:val="00C61827"/>
    <w:rsid w:val="00C61CAE"/>
    <w:rsid w:val="00C61D2A"/>
    <w:rsid w:val="00C6319D"/>
    <w:rsid w:val="00C631C5"/>
    <w:rsid w:val="00C63813"/>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6E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3BB9"/>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467"/>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390"/>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4B34"/>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56E2"/>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0FA8"/>
    <w:rsid w:val="00E212B1"/>
    <w:rsid w:val="00E21380"/>
    <w:rsid w:val="00E21DC5"/>
    <w:rsid w:val="00E21E0B"/>
    <w:rsid w:val="00E23842"/>
    <w:rsid w:val="00E24B03"/>
    <w:rsid w:val="00E25668"/>
    <w:rsid w:val="00E25EA1"/>
    <w:rsid w:val="00E25FBE"/>
    <w:rsid w:val="00E26712"/>
    <w:rsid w:val="00E2682A"/>
    <w:rsid w:val="00E27447"/>
    <w:rsid w:val="00E3095F"/>
    <w:rsid w:val="00E30B43"/>
    <w:rsid w:val="00E31870"/>
    <w:rsid w:val="00E3198D"/>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2EBE"/>
    <w:rsid w:val="00E43125"/>
    <w:rsid w:val="00E434A7"/>
    <w:rsid w:val="00E43709"/>
    <w:rsid w:val="00E4431D"/>
    <w:rsid w:val="00E445E7"/>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6AA"/>
    <w:rsid w:val="00EA4ABA"/>
    <w:rsid w:val="00EA5754"/>
    <w:rsid w:val="00EA5ECE"/>
    <w:rsid w:val="00EA6090"/>
    <w:rsid w:val="00EA706A"/>
    <w:rsid w:val="00EA72E4"/>
    <w:rsid w:val="00EB0299"/>
    <w:rsid w:val="00EB199D"/>
    <w:rsid w:val="00EB2551"/>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CFA"/>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0F1E"/>
    <w:rsid w:val="00F314FE"/>
    <w:rsid w:val="00F31BBD"/>
    <w:rsid w:val="00F3318B"/>
    <w:rsid w:val="00F337B5"/>
    <w:rsid w:val="00F3569A"/>
    <w:rsid w:val="00F35823"/>
    <w:rsid w:val="00F35D8B"/>
    <w:rsid w:val="00F35DD8"/>
    <w:rsid w:val="00F36059"/>
    <w:rsid w:val="00F36425"/>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9B4"/>
    <w:rsid w:val="00F70D49"/>
    <w:rsid w:val="00F718A3"/>
    <w:rsid w:val="00F71DC9"/>
    <w:rsid w:val="00F729CF"/>
    <w:rsid w:val="00F72FC2"/>
    <w:rsid w:val="00F749A8"/>
    <w:rsid w:val="00F74F32"/>
    <w:rsid w:val="00F75825"/>
    <w:rsid w:val="00F75C81"/>
    <w:rsid w:val="00F760BB"/>
    <w:rsid w:val="00F76427"/>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1D6D"/>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10CE"/>
    <w:rsid w:val="00FF1C99"/>
    <w:rsid w:val="00FF2F94"/>
    <w:rsid w:val="00FF35C5"/>
    <w:rsid w:val="00FF37B2"/>
    <w:rsid w:val="00FF530E"/>
    <w:rsid w:val="00FF5C3C"/>
    <w:rsid w:val="00FF66BF"/>
    <w:rsid w:val="00FF7695"/>
    <w:rsid w:val="1B2EB18F"/>
    <w:rsid w:val="29729D5D"/>
    <w:rsid w:val="30555355"/>
    <w:rsid w:val="456B1CFD"/>
    <w:rsid w:val="62C780E2"/>
    <w:rsid w:val="6D1DC6A4"/>
    <w:rsid w:val="7008BAB5"/>
    <w:rsid w:val="78A864EB"/>
    <w:rsid w:val="7D241B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CE61A166-D90A-411E-B917-9EF86535C9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cs="Arial" w:eastAsiaTheme="majorEastAsia"/>
      <w:b/>
      <w:bCs/>
      <w:szCs w:val="22"/>
      <w:bdr w:val="none" w:color="auto" w:sz="0" w:space="0"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hAnsiTheme="majorHAnsi" w:eastAsiaTheme="majorEastAsia"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styleId="Default" w:customStyle="1">
    <w:name w:val="Default"/>
    <w:rsid w:val="00533C74"/>
    <w:pPr>
      <w:autoSpaceDE w:val="0"/>
      <w:autoSpaceDN w:val="0"/>
      <w:adjustRightInd w:val="0"/>
    </w:pPr>
    <w:rPr>
      <w:color w:val="000000"/>
      <w:sz w:val="24"/>
      <w:szCs w:val="24"/>
    </w:rPr>
  </w:style>
  <w:style w:type="paragraph" w:styleId="CM50" w:customStyle="1">
    <w:name w:val="CM50"/>
    <w:basedOn w:val="Default"/>
    <w:next w:val="Default"/>
    <w:uiPriority w:val="99"/>
    <w:rsid w:val="00533C74"/>
    <w:rPr>
      <w:color w:val="auto"/>
    </w:rPr>
  </w:style>
  <w:style w:type="paragraph" w:styleId="CM49" w:customStyle="1">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styleId="BodyTextChar" w:customStyle="1">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styleId="BodyTextFirstIndentChar" w:customStyle="1">
    <w:name w:val="Body Text First Indent Char"/>
    <w:basedOn w:val="BodyTextChar"/>
    <w:link w:val="BodyTextFirstIndent"/>
    <w:rsid w:val="0054123C"/>
    <w:rPr>
      <w:rFonts w:ascii="Arial" w:hAnsi="Arial" w:cs="Arial"/>
      <w:sz w:val="22"/>
      <w:szCs w:val="22"/>
    </w:rPr>
  </w:style>
  <w:style w:type="character" w:styleId="Heading2Char" w:customStyle="1">
    <w:name w:val="Heading 2 Char"/>
    <w:link w:val="Heading2"/>
    <w:rsid w:val="00F70900"/>
    <w:rPr>
      <w:rFonts w:ascii="CVS Health Sans" w:hAnsi="CVS Health Sans" w:cs="Arial"/>
      <w:b/>
      <w:bCs/>
      <w:sz w:val="40"/>
      <w:szCs w:val="24"/>
    </w:rPr>
  </w:style>
  <w:style w:type="paragraph" w:styleId="first" w:customStyle="1">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styleId="italics" w:customStyle="1">
    <w:name w:val="italics"/>
    <w:basedOn w:val="DefaultParagraphFont"/>
    <w:rsid w:val="00C434A1"/>
  </w:style>
  <w:style w:type="character" w:styleId="bold" w:customStyle="1">
    <w:name w:val="bold"/>
    <w:basedOn w:val="DefaultParagraphFont"/>
    <w:rsid w:val="00C434A1"/>
  </w:style>
  <w:style w:type="paragraph" w:styleId="List2">
    <w:name w:val="List 2"/>
    <w:basedOn w:val="Normal"/>
    <w:rsid w:val="00030714"/>
    <w:pPr>
      <w:ind w:left="720" w:hanging="360"/>
      <w:contextualSpacing/>
    </w:pPr>
  </w:style>
  <w:style w:type="character" w:styleId="FooterChar" w:customStyle="1">
    <w:name w:val="Footer Char"/>
    <w:basedOn w:val="DefaultParagraphFont"/>
    <w:link w:val="Footer"/>
    <w:uiPriority w:val="99"/>
    <w:rsid w:val="009B35DC"/>
  </w:style>
  <w:style w:type="character" w:styleId="HeaderChar" w:customStyle="1">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styleId="CommentTextChar" w:customStyle="1">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styleId="CommentSubjectChar" w:customStyle="1">
    <w:name w:val="Comment Subject Char"/>
    <w:link w:val="CommentSubject"/>
    <w:rsid w:val="00151DA8"/>
    <w:rPr>
      <w:b/>
      <w:bCs/>
    </w:rPr>
  </w:style>
  <w:style w:type="character" w:styleId="Heading8Char" w:customStyle="1">
    <w:name w:val="Heading 8 Char"/>
    <w:link w:val="Heading8"/>
    <w:semiHidden/>
    <w:rsid w:val="00146C1A"/>
    <w:rPr>
      <w:rFonts w:ascii="Calibri" w:hAnsi="Calibri" w:eastAsia="Times New Roman"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285A0C"/>
    <w:pPr>
      <w:numPr>
        <w:numId w:val="33"/>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styleId="Heading1Char" w:customStyle="1">
    <w:name w:val="Heading 1 Char"/>
    <w:basedOn w:val="DefaultParagraphFont"/>
    <w:link w:val="Heading1"/>
    <w:rsid w:val="00850792"/>
    <w:rPr>
      <w:rFonts w:ascii="CVS Health Sans" w:hAnsi="CVS Health Sans"/>
      <w:sz w:val="56"/>
      <w:szCs w:val="40"/>
    </w:rPr>
  </w:style>
  <w:style w:type="character" w:styleId="Heading3Char" w:customStyle="1">
    <w:name w:val="Heading 3 Char"/>
    <w:basedOn w:val="DefaultParagraphFont"/>
    <w:link w:val="Heading3"/>
    <w:rsid w:val="00E40054"/>
    <w:rPr>
      <w:rFonts w:ascii="CVS Health Sans" w:hAnsi="CVS Health Sans" w:cs="Arial"/>
      <w:bCs/>
      <w:sz w:val="32"/>
      <w:szCs w:val="32"/>
    </w:rPr>
  </w:style>
  <w:style w:type="character" w:styleId="Heading4Char" w:customStyle="1">
    <w:name w:val="Heading 4 Char"/>
    <w:basedOn w:val="DefaultParagraphFont"/>
    <w:link w:val="Heading4"/>
    <w:rsid w:val="00ED012B"/>
    <w:rPr>
      <w:rFonts w:ascii="CVS Health Sans" w:hAnsi="CVS Health Sans" w:cs="Arial" w:eastAsiaTheme="majorEastAsia"/>
      <w:sz w:val="28"/>
      <w:szCs w:val="24"/>
      <w:bdr w:val="none" w:color="auto" w:sz="0" w:space="0" w:frame="1"/>
    </w:rPr>
  </w:style>
  <w:style w:type="paragraph" w:styleId="ListedDrugs" w:customStyle="1">
    <w:name w:val="Listed Drugs"/>
    <w:basedOn w:val="BodyText"/>
    <w:link w:val="ListedDrugsChar"/>
    <w:rsid w:val="00165A99"/>
    <w:pPr>
      <w:numPr>
        <w:numId w:val="1"/>
      </w:numPr>
      <w:pBdr>
        <w:top w:val="double" w:color="auto" w:sz="4" w:space="1"/>
        <w:left w:val="double" w:color="auto" w:sz="4" w:space="4"/>
        <w:right w:val="double" w:color="auto" w:sz="4" w:space="4"/>
      </w:pBdr>
      <w:ind w:hanging="720"/>
    </w:pPr>
    <w:rPr>
      <w:b/>
      <w:bCs/>
      <w:sz w:val="24"/>
      <w:szCs w:val="24"/>
    </w:rPr>
  </w:style>
  <w:style w:type="character" w:styleId="Heading5Char" w:customStyle="1">
    <w:name w:val="Heading 5 Char"/>
    <w:basedOn w:val="DefaultParagraphFont"/>
    <w:link w:val="Heading5"/>
    <w:rsid w:val="008445A6"/>
    <w:rPr>
      <w:rFonts w:ascii="CVS Health Sans" w:hAnsi="CVS Health Sans" w:cs="Arial" w:eastAsiaTheme="majorEastAsia"/>
      <w:b/>
      <w:bCs/>
      <w:sz w:val="22"/>
      <w:szCs w:val="22"/>
      <w:bdr w:val="none" w:color="auto" w:sz="0" w:space="0" w:frame="1"/>
    </w:rPr>
  </w:style>
  <w:style w:type="character" w:styleId="ListedDrugsChar" w:customStyle="1">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styleId="EndnoteTextChar" w:customStyle="1">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styleId="paragraph" w:customStyle="1">
    <w:name w:val="paragraph"/>
    <w:basedOn w:val="Normal"/>
    <w:rsid w:val="00A14F1C"/>
    <w:pPr>
      <w:spacing w:before="100" w:beforeAutospacing="1" w:after="100" w:afterAutospacing="1"/>
    </w:pPr>
    <w:rPr>
      <w:sz w:val="24"/>
      <w:szCs w:val="24"/>
    </w:rPr>
  </w:style>
  <w:style w:type="character" w:styleId="normaltextrun" w:customStyle="1">
    <w:name w:val="normaltextrun"/>
    <w:basedOn w:val="DefaultParagraphFont"/>
    <w:rsid w:val="00A14F1C"/>
  </w:style>
  <w:style w:type="character" w:styleId="eop" w:customStyle="1">
    <w:name w:val="eop"/>
    <w:basedOn w:val="DefaultParagraphFont"/>
    <w:rsid w:val="00A14F1C"/>
  </w:style>
  <w:style w:type="paragraph" w:styleId="FootnoteText">
    <w:name w:val="footnote text"/>
    <w:basedOn w:val="Normal"/>
    <w:link w:val="FootnoteTextChar"/>
    <w:rsid w:val="00B465F0"/>
  </w:style>
  <w:style w:type="character" w:styleId="FootnoteTextChar" w:customStyle="1">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styleId="ReferenceOrdered" w:customStyle="1">
    <w:name w:val="Reference Ordered"/>
    <w:basedOn w:val="BodyText"/>
    <w:link w:val="ReferenceOrderedChar"/>
    <w:qFormat/>
    <w:rsid w:val="00B4086C"/>
    <w:pPr>
      <w:numPr>
        <w:numId w:val="2"/>
      </w:numPr>
      <w:spacing w:after="0"/>
      <w:ind w:left="360"/>
    </w:pPr>
  </w:style>
  <w:style w:type="paragraph" w:styleId="Questionnaire" w:customStyle="1">
    <w:name w:val="Questionnaire"/>
    <w:basedOn w:val="BodyText"/>
    <w:link w:val="QuestionnaireChar"/>
    <w:rsid w:val="0002595C"/>
    <w:pPr>
      <w:numPr>
        <w:numId w:val="3"/>
      </w:numPr>
      <w:spacing w:before="240"/>
    </w:pPr>
  </w:style>
  <w:style w:type="character" w:styleId="ReferenceOrderedChar" w:customStyle="1">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styleId="QuestionnaireChar" w:customStyle="1">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color="5B9BD5" w:themeColor="accent1" w:sz="2" w:space="10"/>
        <w:left w:val="single" w:color="5B9BD5" w:themeColor="accent1" w:sz="2" w:space="10"/>
        <w:bottom w:val="single" w:color="5B9BD5" w:themeColor="accent1" w:sz="2" w:space="10"/>
        <w:right w:val="single" w:color="5B9BD5" w:themeColor="accent1" w:sz="2" w:space="10"/>
      </w:pBdr>
      <w:ind w:left="1152" w:right="1152"/>
    </w:pPr>
    <w:rPr>
      <w:rFonts w:asciiTheme="minorHAnsi" w:hAnsiTheme="minorHAnsi" w:eastAsiaTheme="minorEastAsia"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styleId="BodyText2Char" w:customStyle="1">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styleId="BodyText3Char" w:customStyle="1">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styleId="BodyTextIndentChar" w:customStyle="1">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styleId="BodyTextFirstIndent2Char" w:customStyle="1">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styleId="BodyTextIndent2Char" w:customStyle="1">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styleId="BodyTextIndent3Char" w:customStyle="1">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styleId="ClosingChar" w:customStyle="1">
    <w:name w:val="Closing Char"/>
    <w:basedOn w:val="DefaultParagraphFont"/>
    <w:link w:val="Closing"/>
    <w:rsid w:val="00FA3092"/>
  </w:style>
  <w:style w:type="paragraph" w:styleId="Date">
    <w:name w:val="Date"/>
    <w:basedOn w:val="Normal"/>
    <w:next w:val="Normal"/>
    <w:link w:val="DateChar"/>
    <w:rsid w:val="00FA3092"/>
  </w:style>
  <w:style w:type="character" w:styleId="DateChar" w:customStyle="1">
    <w:name w:val="Date Char"/>
    <w:basedOn w:val="DefaultParagraphFont"/>
    <w:link w:val="Date"/>
    <w:rsid w:val="00FA3092"/>
  </w:style>
  <w:style w:type="paragraph" w:styleId="E-mailSignature">
    <w:name w:val="E-mail Signature"/>
    <w:basedOn w:val="Normal"/>
    <w:link w:val="E-mailSignatureChar"/>
    <w:rsid w:val="00FA3092"/>
  </w:style>
  <w:style w:type="character" w:styleId="E-mailSignatureChar" w:customStyle="1">
    <w:name w:val="E-mail Signature Char"/>
    <w:basedOn w:val="DefaultParagraphFont"/>
    <w:link w:val="E-mailSignature"/>
    <w:rsid w:val="00FA3092"/>
  </w:style>
  <w:style w:type="paragraph" w:styleId="EnvelopeAddress">
    <w:name w:val="envelope address"/>
    <w:basedOn w:val="Normal"/>
    <w:rsid w:val="00FA3092"/>
    <w:pPr>
      <w:framePr w:w="7920" w:h="1980" w:hSpace="180" w:wrap="auto" w:hAnchor="page" w:xAlign="center" w:yAlign="bottom" w:hRule="exact"/>
      <w:ind w:left="2880"/>
    </w:pPr>
    <w:rPr>
      <w:rFonts w:asciiTheme="majorHAnsi" w:hAnsiTheme="majorHAnsi" w:eastAsiaTheme="majorEastAsia" w:cstheme="majorBidi"/>
      <w:sz w:val="24"/>
      <w:szCs w:val="24"/>
    </w:rPr>
  </w:style>
  <w:style w:type="paragraph" w:styleId="EnvelopeReturn">
    <w:name w:val="envelope return"/>
    <w:basedOn w:val="Normal"/>
    <w:rsid w:val="00FA3092"/>
    <w:rPr>
      <w:rFonts w:asciiTheme="majorHAnsi" w:hAnsiTheme="majorHAnsi" w:eastAsiaTheme="majorEastAsia" w:cstheme="majorBidi"/>
    </w:rPr>
  </w:style>
  <w:style w:type="character" w:styleId="Heading6Char" w:customStyle="1">
    <w:name w:val="Heading 6 Char"/>
    <w:basedOn w:val="DefaultParagraphFont"/>
    <w:link w:val="Heading6"/>
    <w:semiHidden/>
    <w:rsid w:val="00255903"/>
    <w:rPr>
      <w:rFonts w:ascii="CVS Health Sans" w:hAnsi="CVS Health Sans" w:eastAsiaTheme="majorEastAsia" w:cstheme="majorBidi"/>
      <w:b/>
    </w:rPr>
  </w:style>
  <w:style w:type="character" w:styleId="Heading7Char" w:customStyle="1">
    <w:name w:val="Heading 7 Char"/>
    <w:basedOn w:val="DefaultParagraphFont"/>
    <w:link w:val="Heading7"/>
    <w:semiHidden/>
    <w:rsid w:val="00FA3092"/>
    <w:rPr>
      <w:rFonts w:asciiTheme="majorHAnsi" w:hAnsiTheme="majorHAnsi" w:eastAsiaTheme="majorEastAsia" w:cstheme="majorBidi"/>
      <w:i/>
      <w:iCs/>
      <w:color w:val="1F4D78" w:themeColor="accent1" w:themeShade="7F"/>
    </w:rPr>
  </w:style>
  <w:style w:type="character" w:styleId="Heading9Char" w:customStyle="1">
    <w:name w:val="Heading 9 Char"/>
    <w:basedOn w:val="DefaultParagraphFont"/>
    <w:link w:val="Heading9"/>
    <w:semiHidden/>
    <w:rsid w:val="00FA3092"/>
    <w:rPr>
      <w:rFonts w:asciiTheme="majorHAnsi" w:hAnsiTheme="majorHAnsi" w:eastAsiaTheme="majorEastAsia"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styleId="HTMLAddressChar" w:customStyle="1">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styleId="HTMLPreformattedChar" w:customStyle="1">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hAnsiTheme="majorHAnsi" w:eastAsiaTheme="majorEastAsia" w:cstheme="majorBidi"/>
      <w:b/>
      <w:bCs/>
    </w:rPr>
  </w:style>
  <w:style w:type="paragraph" w:styleId="IntenseQuote">
    <w:name w:val="Intense Quote"/>
    <w:basedOn w:val="Normal"/>
    <w:next w:val="Normal"/>
    <w:link w:val="IntenseQuoteChar"/>
    <w:uiPriority w:val="30"/>
    <w:rsid w:val="00FA3092"/>
    <w:pPr>
      <w:pBdr>
        <w:top w:val="single" w:color="5B9BD5" w:themeColor="accent1" w:sz="4" w:space="10"/>
        <w:bottom w:val="single" w:color="5B9BD5" w:themeColor="accent1" w:sz="4" w:space="10"/>
      </w:pBdr>
      <w:spacing w:before="360" w:after="360"/>
      <w:ind w:left="864" w:right="864"/>
      <w:jc w:val="center"/>
    </w:pPr>
    <w:rPr>
      <w:i/>
      <w:iCs/>
      <w:color w:val="5B9BD5" w:themeColor="accent1"/>
    </w:rPr>
  </w:style>
  <w:style w:type="character" w:styleId="IntenseQuoteChar" w:customStyle="1">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styleId="MacroTextChar" w:customStyle="1">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color="auto" w:sz="6" w:space="1"/>
        <w:left w:val="single" w:color="auto" w:sz="6" w:space="1"/>
        <w:bottom w:val="single" w:color="auto" w:sz="6" w:space="1"/>
        <w:right w:val="single" w:color="auto" w:sz="6" w:space="1"/>
      </w:pBdr>
      <w:shd w:val="pct20" w:color="auto" w:fill="auto"/>
      <w:ind w:left="1080" w:hanging="1080"/>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rsid w:val="00FA3092"/>
    <w:rPr>
      <w:rFonts w:asciiTheme="majorHAnsi" w:hAnsiTheme="majorHAnsi" w:eastAsiaTheme="majorEastAsia"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styleId="NoteHeadingChar" w:customStyle="1">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styleId="PlainTextChar" w:customStyle="1">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styleId="SalutationChar" w:customStyle="1">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styleId="SignatureChar" w:customStyle="1">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hAnsiTheme="minorHAnsi" w:eastAsiaTheme="minorEastAsia" w:cstheme="minorBidi"/>
      <w:color w:val="5A5A5A" w:themeColor="text1" w:themeTint="A5"/>
      <w:spacing w:val="15"/>
      <w:szCs w:val="22"/>
    </w:rPr>
  </w:style>
  <w:style w:type="character" w:styleId="SubtitleChar" w:customStyle="1">
    <w:name w:val="Subtitle Char"/>
    <w:basedOn w:val="DefaultParagraphFont"/>
    <w:link w:val="Subtitle"/>
    <w:rsid w:val="00FA3092"/>
    <w:rPr>
      <w:rFonts w:asciiTheme="minorHAnsi" w:hAnsiTheme="minorHAnsi" w:eastAsiaTheme="minorEastAsia"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rsid w:val="00FA3092"/>
    <w:rPr>
      <w:rFonts w:asciiTheme="majorHAnsi" w:hAnsiTheme="majorHAnsi" w:eastAsiaTheme="majorEastAsia" w:cstheme="majorBidi"/>
      <w:spacing w:val="-10"/>
      <w:kern w:val="28"/>
      <w:sz w:val="56"/>
      <w:szCs w:val="56"/>
    </w:rPr>
  </w:style>
  <w:style w:type="paragraph" w:styleId="TOAHeading">
    <w:name w:val="toa heading"/>
    <w:basedOn w:val="Normal"/>
    <w:next w:val="Normal"/>
    <w:rsid w:val="00FA3092"/>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hAnsiTheme="majorHAnsi" w:eastAsiaTheme="majorEastAsia"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styleId="ListMapping" w:customStyle="1">
    <w:name w:val="List Mapping"/>
    <w:basedOn w:val="BodyText"/>
    <w:link w:val="ListMappingChar"/>
    <w:rsid w:val="00EB5413"/>
    <w:pPr>
      <w:numPr>
        <w:numId w:val="14"/>
      </w:numPr>
      <w:ind w:left="720" w:hanging="180"/>
    </w:pPr>
  </w:style>
  <w:style w:type="character" w:styleId="ListMappingChar" w:customStyle="1">
    <w:name w:val="List Mapping Char"/>
    <w:basedOn w:val="BodyTextChar"/>
    <w:link w:val="ListMapping"/>
    <w:rsid w:val="00EB5413"/>
    <w:rPr>
      <w:rFonts w:ascii="CVS Health Sans" w:hAnsi="CVS Health Sans" w:cs="Arial"/>
      <w:sz w:val="22"/>
      <w:szCs w:val="22"/>
    </w:rPr>
  </w:style>
  <w:style w:type="paragraph" w:styleId="OrderedList1" w:customStyle="1">
    <w:name w:val="Ordered List 1"/>
    <w:basedOn w:val="BodyText"/>
    <w:link w:val="OrderedList1Char"/>
    <w:rsid w:val="002D0E27"/>
    <w:pPr>
      <w:numPr>
        <w:numId w:val="15"/>
      </w:numPr>
      <w:spacing w:after="60"/>
    </w:pPr>
  </w:style>
  <w:style w:type="character" w:styleId="OrderedList1Char" w:customStyle="1">
    <w:name w:val="Ordered List 1 Char"/>
    <w:basedOn w:val="DefaultParagraphFont"/>
    <w:link w:val="OrderedList1"/>
    <w:rsid w:val="002D0E27"/>
    <w:rPr>
      <w:rFonts w:ascii="CVS Health Sans" w:hAnsi="CVS Health Sans" w:cs="Arial"/>
      <w:sz w:val="22"/>
      <w:szCs w:val="22"/>
    </w:rPr>
  </w:style>
  <w:style w:type="paragraph" w:styleId="Multi-Level" w:customStyle="1">
    <w:name w:val="Multi-Level"/>
    <w:basedOn w:val="BodyText"/>
    <w:link w:val="Multi-LevelChar"/>
    <w:rsid w:val="008C42FB"/>
    <w:pPr>
      <w:numPr>
        <w:numId w:val="16"/>
      </w:numPr>
      <w:spacing w:after="60"/>
    </w:pPr>
  </w:style>
  <w:style w:type="character" w:styleId="Multi-LevelChar" w:customStyle="1">
    <w:name w:val="Multi-Level Char"/>
    <w:basedOn w:val="BodyTextChar"/>
    <w:link w:val="Multi-Level"/>
    <w:rsid w:val="008C42FB"/>
    <w:rPr>
      <w:rFonts w:ascii="CVS Health Sans" w:hAnsi="CVS Health Sans" w:cs="Arial"/>
      <w:sz w:val="22"/>
      <w:szCs w:val="22"/>
    </w:rPr>
  </w:style>
  <w:style w:type="paragraph" w:styleId="QuestionnaireOrderedList" w:customStyle="1">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styleId="QuestionnaireOrderedListChar" w:customStyle="1">
    <w:name w:val="Questionnaire Ordered List Char"/>
    <w:basedOn w:val="DefaultParagraphFont"/>
    <w:link w:val="QuestionnaireOrderedList"/>
    <w:rsid w:val="009F3F1F"/>
    <w:rPr>
      <w:rFonts w:ascii="Arial" w:hAnsi="Arial"/>
    </w:rPr>
  </w:style>
  <w:style w:type="numbering" w:styleId="Style2" w:customStyle="1">
    <w:name w:val="Style2"/>
    <w:uiPriority w:val="99"/>
    <w:rsid w:val="00A40451"/>
    <w:pPr>
      <w:numPr>
        <w:numId w:val="19"/>
      </w:numPr>
    </w:pPr>
  </w:style>
  <w:style w:type="paragraph" w:styleId="TableList" w:customStyle="1">
    <w:name w:val="Table List"/>
    <w:basedOn w:val="BodyText"/>
    <w:link w:val="TableListChar"/>
    <w:qFormat/>
    <w:rsid w:val="00E738B8"/>
    <w:pPr>
      <w:numPr>
        <w:numId w:val="17"/>
      </w:numPr>
      <w:spacing w:after="0"/>
      <w:ind w:left="361" w:hanging="270"/>
    </w:pPr>
  </w:style>
  <w:style w:type="paragraph" w:styleId="LetteredList" w:customStyle="1">
    <w:name w:val="Lettered List"/>
    <w:basedOn w:val="BodyText"/>
    <w:link w:val="LetteredListChar"/>
    <w:rsid w:val="003E6FC2"/>
    <w:pPr>
      <w:numPr>
        <w:numId w:val="18"/>
      </w:numPr>
    </w:pPr>
    <w:rPr>
      <w:rFonts w:eastAsia="Arial"/>
    </w:rPr>
  </w:style>
  <w:style w:type="character" w:styleId="TableListChar" w:customStyle="1">
    <w:name w:val="Table List Char"/>
    <w:basedOn w:val="BodyTextChar"/>
    <w:link w:val="TableList"/>
    <w:rsid w:val="00E738B8"/>
    <w:rPr>
      <w:rFonts w:ascii="CVS Health Sans" w:hAnsi="CVS Health Sans" w:cs="Arial"/>
      <w:sz w:val="22"/>
      <w:szCs w:val="22"/>
    </w:rPr>
  </w:style>
  <w:style w:type="paragraph" w:styleId="TableHeader" w:customStyle="1">
    <w:name w:val="Table Header"/>
    <w:basedOn w:val="Normal"/>
    <w:link w:val="TableHeaderChar"/>
    <w:qFormat/>
    <w:rsid w:val="00E166ED"/>
    <w:pPr>
      <w:spacing w:after="60"/>
    </w:pPr>
    <w:rPr>
      <w:rFonts w:cs="Arial"/>
      <w:b/>
      <w:bCs/>
      <w:szCs w:val="22"/>
    </w:rPr>
  </w:style>
  <w:style w:type="character" w:styleId="LetteredListChar" w:customStyle="1">
    <w:name w:val="Lettered List Char"/>
    <w:basedOn w:val="BodyTextChar"/>
    <w:link w:val="LetteredList"/>
    <w:rsid w:val="003E6FC2"/>
    <w:rPr>
      <w:rFonts w:ascii="CVS Health Sans" w:hAnsi="CVS Health Sans" w:eastAsia="Arial" w:cs="Arial"/>
      <w:sz w:val="22"/>
      <w:szCs w:val="22"/>
    </w:rPr>
  </w:style>
  <w:style w:type="character" w:styleId="TableHeaderChar" w:customStyle="1">
    <w:name w:val="Table Header Char"/>
    <w:basedOn w:val="DefaultParagraphFont"/>
    <w:link w:val="TableHeader"/>
    <w:rsid w:val="00E166ED"/>
    <w:rPr>
      <w:rFonts w:ascii="CVS Health Sans" w:hAnsi="CVS Health Sans" w:cs="Arial"/>
      <w:b/>
      <w:bCs/>
      <w:sz w:val="22"/>
      <w:szCs w:val="22"/>
    </w:rPr>
  </w:style>
  <w:style w:type="paragraph" w:styleId="FormularyTableHeader" w:customStyle="1">
    <w:name w:val="Formulary Table Header"/>
    <w:basedOn w:val="TableHeader"/>
    <w:link w:val="FormularyTableHeaderChar"/>
    <w:qFormat/>
    <w:rsid w:val="00F826EA"/>
    <w:pPr>
      <w:spacing w:after="0"/>
    </w:pPr>
    <w:rPr>
      <w:sz w:val="16"/>
      <w:szCs w:val="16"/>
    </w:rPr>
  </w:style>
  <w:style w:type="paragraph" w:styleId="FormularyTableData" w:customStyle="1">
    <w:name w:val="Formulary Table Data"/>
    <w:basedOn w:val="BodyText"/>
    <w:link w:val="FormularyTableDataChar"/>
    <w:qFormat/>
    <w:rsid w:val="00F826EA"/>
    <w:pPr>
      <w:spacing w:after="0"/>
    </w:pPr>
    <w:rPr>
      <w:sz w:val="16"/>
      <w:szCs w:val="16"/>
    </w:rPr>
  </w:style>
  <w:style w:type="character" w:styleId="FormularyTableHeaderChar" w:customStyle="1">
    <w:name w:val="Formulary Table Header Char"/>
    <w:basedOn w:val="TableHeaderChar"/>
    <w:link w:val="FormularyTableHeader"/>
    <w:rsid w:val="00F826EA"/>
    <w:rPr>
      <w:rFonts w:ascii="CVS Health Sans" w:hAnsi="CVS Health Sans" w:cs="Arial"/>
      <w:b/>
      <w:bCs/>
      <w:sz w:val="16"/>
      <w:szCs w:val="16"/>
    </w:rPr>
  </w:style>
  <w:style w:type="character" w:styleId="FormularyTableDataChar" w:customStyle="1">
    <w:name w:val="Formulary Table Data Char"/>
    <w:basedOn w:val="BodyTextChar"/>
    <w:link w:val="FormularyTableData"/>
    <w:rsid w:val="00F826EA"/>
    <w:rPr>
      <w:rFonts w:ascii="CVS Health Sans" w:hAnsi="CVS Health Sans" w:cs="Arial"/>
      <w:sz w:val="16"/>
      <w:szCs w:val="16"/>
    </w:rPr>
  </w:style>
  <w:style w:type="paragraph" w:styleId="TableData" w:customStyle="1">
    <w:name w:val="Table Data"/>
    <w:basedOn w:val="BodyText"/>
    <w:link w:val="TableDataChar"/>
    <w:qFormat/>
    <w:rsid w:val="00930FF5"/>
    <w:rPr>
      <w:rFonts w:eastAsia="Arial"/>
    </w:rPr>
  </w:style>
  <w:style w:type="character" w:styleId="TableDataChar" w:customStyle="1">
    <w:name w:val="Table Data Char"/>
    <w:basedOn w:val="BodyTextChar"/>
    <w:link w:val="TableData"/>
    <w:rsid w:val="00930FF5"/>
    <w:rPr>
      <w:rFonts w:ascii="CVS Health Sans" w:hAnsi="CVS Health Sans" w:eastAsia="Arial" w:cs="Arial"/>
      <w:sz w:val="22"/>
      <w:szCs w:val="22"/>
    </w:rPr>
  </w:style>
  <w:style w:type="paragraph" w:styleId="TableDataUnpadded" w:customStyle="1">
    <w:name w:val="Table Data Unpadded"/>
    <w:basedOn w:val="TableData"/>
    <w:link w:val="TableDataUnpaddedChar"/>
    <w:qFormat/>
    <w:rsid w:val="00E82ABA"/>
    <w:pPr>
      <w:spacing w:after="0"/>
    </w:pPr>
  </w:style>
  <w:style w:type="character" w:styleId="TableDataUnpaddedChar" w:customStyle="1">
    <w:name w:val="Table Data Unpadded Char"/>
    <w:basedOn w:val="TableDataChar"/>
    <w:link w:val="TableDataUnpadded"/>
    <w:rsid w:val="00E82ABA"/>
    <w:rPr>
      <w:rFonts w:ascii="CVS Health Sans" w:hAnsi="CVS Health Sans" w:eastAsia="Arial" w:cs="Arial"/>
      <w:sz w:val="22"/>
      <w:szCs w:val="22"/>
    </w:rPr>
  </w:style>
  <w:style w:type="paragraph" w:styleId="BoldEmphasis" w:customStyle="1">
    <w:name w:val="Bold Emphasis"/>
    <w:basedOn w:val="BodyText"/>
    <w:link w:val="BoldEmphasisChar"/>
    <w:rsid w:val="00BE0818"/>
    <w:rPr>
      <w:b/>
      <w:bCs/>
    </w:rPr>
  </w:style>
  <w:style w:type="character" w:styleId="BoldEmphasisChar" w:customStyle="1">
    <w:name w:val="Bold Emphasis Char"/>
    <w:basedOn w:val="BodyTextChar"/>
    <w:link w:val="BoldEmphasis"/>
    <w:rsid w:val="00BE0818"/>
    <w:rPr>
      <w:rFonts w:ascii="CVS Health Sans" w:hAnsi="CVS Health Sans" w:cs="Arial"/>
      <w:b/>
      <w:bCs/>
      <w:sz w:val="22"/>
      <w:szCs w:val="22"/>
    </w:rPr>
  </w:style>
  <w:style w:type="paragraph" w:styleId="RefTableHeader" w:customStyle="1">
    <w:name w:val="Ref Table Header"/>
    <w:basedOn w:val="Header"/>
    <w:link w:val="RefTableHeaderChar"/>
    <w:qFormat/>
    <w:rsid w:val="00907301"/>
    <w:rPr>
      <w:rFonts w:cs="Arial"/>
      <w:sz w:val="16"/>
      <w:szCs w:val="16"/>
    </w:rPr>
  </w:style>
  <w:style w:type="paragraph" w:styleId="RefTableData" w:customStyle="1">
    <w:name w:val="Ref Table Data"/>
    <w:basedOn w:val="Header"/>
    <w:link w:val="RefTableDataChar"/>
    <w:qFormat/>
    <w:rsid w:val="00907301"/>
    <w:rPr>
      <w:rFonts w:cs="Arial"/>
      <w:sz w:val="16"/>
      <w:szCs w:val="16"/>
    </w:rPr>
  </w:style>
  <w:style w:type="character" w:styleId="RefTableHeaderChar" w:customStyle="1">
    <w:name w:val="Ref Table Header Char"/>
    <w:basedOn w:val="HeaderChar"/>
    <w:link w:val="RefTableHeader"/>
    <w:rsid w:val="00907301"/>
    <w:rPr>
      <w:rFonts w:ascii="CVS Health Sans" w:hAnsi="CVS Health Sans" w:cs="Arial"/>
      <w:sz w:val="16"/>
      <w:szCs w:val="16"/>
    </w:rPr>
  </w:style>
  <w:style w:type="paragraph" w:styleId="Marginfooter" w:customStyle="1">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styleId="RefTableDataChar" w:customStyle="1">
    <w:name w:val="Ref Table Data Char"/>
    <w:basedOn w:val="HeaderChar"/>
    <w:link w:val="RefTableData"/>
    <w:rsid w:val="00907301"/>
    <w:rPr>
      <w:rFonts w:ascii="CVS Health Sans" w:hAnsi="CVS Health Sans" w:cs="Arial"/>
      <w:sz w:val="16"/>
      <w:szCs w:val="16"/>
    </w:rPr>
  </w:style>
  <w:style w:type="character" w:styleId="MarginfooterChar" w:customStyle="1">
    <w:name w:val="Margin footer Char"/>
    <w:basedOn w:val="DefaultParagraphFont"/>
    <w:link w:val="Marginfooter"/>
    <w:rsid w:val="00B82F4A"/>
    <w:rPr>
      <w:rFonts w:ascii="CVS Health Sans" w:hAnsi="CVS Health Sans" w:cs="Arial"/>
      <w:snapToGrid w:val="0"/>
      <w:sz w:val="16"/>
      <w:szCs w:val="16"/>
    </w:rPr>
  </w:style>
  <w:style w:type="paragraph" w:styleId="Type" w:customStyle="1">
    <w:name w:val="Type"/>
    <w:basedOn w:val="Normal"/>
    <w:link w:val="TypeChar"/>
    <w:qFormat/>
    <w:rsid w:val="003279BA"/>
    <w:pPr>
      <w:jc w:val="center"/>
    </w:pPr>
    <w:rPr>
      <w:b/>
      <w:bCs/>
    </w:rPr>
  </w:style>
  <w:style w:type="character" w:styleId="TypeChar" w:customStyle="1">
    <w:name w:val="Type Char"/>
    <w:basedOn w:val="DefaultParagraphFont"/>
    <w:link w:val="Type"/>
    <w:rsid w:val="003279BA"/>
    <w:rPr>
      <w:rFonts w:ascii="CVS Health Sans" w:hAnsi="CVS Health Sans"/>
      <w:b/>
      <w:bCs/>
      <w:sz w:val="22"/>
    </w:rPr>
  </w:style>
  <w:style w:type="character" w:styleId="jrnl" w:customStyle="1">
    <w:name w:val="jrnl"/>
    <w:basedOn w:val="DefaultParagraphFont"/>
    <w:rsid w:val="00D36467"/>
  </w:style>
  <w:style w:type="character" w:styleId="highlight2" w:customStyle="1">
    <w:name w:val="highlight2"/>
    <w:basedOn w:val="DefaultParagraphFont"/>
    <w:rsid w:val="00D36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1691688">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981077404">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97190">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96203810">
      <w:bodyDiv w:val="1"/>
      <w:marLeft w:val="0"/>
      <w:marRight w:val="0"/>
      <w:marTop w:val="0"/>
      <w:marBottom w:val="0"/>
      <w:divBdr>
        <w:top w:val="none" w:sz="0" w:space="0" w:color="auto"/>
        <w:left w:val="none" w:sz="0" w:space="0" w:color="auto"/>
        <w:bottom w:val="none" w:sz="0" w:space="0" w:color="auto"/>
        <w:right w:val="none" w:sz="0" w:space="0" w:color="auto"/>
      </w:divBdr>
    </w:div>
    <w:div w:id="1427462505">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589460020">
      <w:bodyDiv w:val="1"/>
      <w:marLeft w:val="0"/>
      <w:marRight w:val="0"/>
      <w:marTop w:val="0"/>
      <w:marBottom w:val="0"/>
      <w:divBdr>
        <w:top w:val="none" w:sz="0" w:space="0" w:color="auto"/>
        <w:left w:val="none" w:sz="0" w:space="0" w:color="auto"/>
        <w:bottom w:val="none" w:sz="0" w:space="0" w:color="auto"/>
        <w:right w:val="none" w:sz="0" w:space="0" w:color="auto"/>
      </w:divBdr>
    </w:div>
    <w:div w:id="1614166255">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85726547">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15752793">
      <w:bodyDiv w:val="1"/>
      <w:marLeft w:val="0"/>
      <w:marRight w:val="0"/>
      <w:marTop w:val="0"/>
      <w:marBottom w:val="0"/>
      <w:divBdr>
        <w:top w:val="none" w:sz="0" w:space="0" w:color="auto"/>
        <w:left w:val="none" w:sz="0" w:space="0" w:color="auto"/>
        <w:bottom w:val="none" w:sz="0" w:space="0" w:color="auto"/>
        <w:right w:val="none" w:sz="0" w:space="0" w:color="auto"/>
      </w:divBdr>
    </w:div>
    <w:div w:id="189812504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18128166">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38967119">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A2718EE0-098B-4E0B-B656-7BE195AF908D}"/>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 ds:uri="7757c461-07c7-44e1-99a5-77c6cc8be592"/>
    <ds:schemaRef ds:uri="eb403b6b-7b96-4fe7-afcc-b3d44ddfb7d8"/>
    <ds:schemaRef ds:uri="http://schemas.microsoft.com/sharepoint/v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PCS Health Systems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IVIG 2042-A SGM 2024</dc:title>
  <dc:subject/>
  <dc:creator>CVS Caremark</dc:creator>
  <cp:keywords/>
  <cp:lastModifiedBy>Leighton, Peter</cp:lastModifiedBy>
  <cp:revision>4</cp:revision>
  <cp:lastPrinted>2018-01-09T15:01:00Z</cp:lastPrinted>
  <dcterms:created xsi:type="dcterms:W3CDTF">2024-10-29T13:29:00Z</dcterms:created>
  <dcterms:modified xsi:type="dcterms:W3CDTF">2024-11-13T20:41:38Z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1630500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